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CA" w:rsidRPr="00DC1DCA" w:rsidRDefault="00DC1DCA" w:rsidP="00DC1DCA">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ANALISIS PENGARUH INFLASI, NILAI TUKAR, TINGKAT SUKU BUNGA, DAN PERTUMBUHAN EKONOMI TERHADAP </w:t>
      </w:r>
      <w:r w:rsidRPr="001E08ED">
        <w:rPr>
          <w:rFonts w:ascii="Times New Roman" w:hAnsi="Times New Roman" w:cs="Times New Roman"/>
          <w:b/>
          <w:i/>
          <w:iCs/>
          <w:sz w:val="32"/>
          <w:szCs w:val="32"/>
        </w:rPr>
        <w:t>RETURN</w:t>
      </w:r>
      <w:r>
        <w:rPr>
          <w:rFonts w:ascii="Times New Roman" w:hAnsi="Times New Roman" w:cs="Times New Roman"/>
          <w:b/>
          <w:sz w:val="32"/>
          <w:szCs w:val="32"/>
        </w:rPr>
        <w:t xml:space="preserve"> SAHAM</w:t>
      </w:r>
    </w:p>
    <w:p w:rsidR="00DC1DCA" w:rsidRDefault="00DC1DCA" w:rsidP="00DC1DCA">
      <w:pPr>
        <w:spacing w:line="240" w:lineRule="auto"/>
        <w:jc w:val="center"/>
        <w:rPr>
          <w:rFonts w:ascii="Times New Roman" w:hAnsi="Times New Roman" w:cs="Times New Roman"/>
          <w:b/>
          <w:sz w:val="30"/>
          <w:szCs w:val="30"/>
          <w:lang w:val="sv-SE"/>
        </w:rPr>
      </w:pPr>
      <w:r>
        <w:rPr>
          <w:rFonts w:ascii="Times New Roman" w:hAnsi="Times New Roman" w:cs="Times New Roman"/>
          <w:b/>
          <w:sz w:val="32"/>
          <w:szCs w:val="32"/>
          <w:lang w:val="id-ID"/>
        </w:rPr>
        <w:t xml:space="preserve">(STUDI KASUS </w:t>
      </w:r>
      <w:r>
        <w:rPr>
          <w:rFonts w:ascii="Times New Roman" w:hAnsi="Times New Roman" w:cs="Times New Roman"/>
          <w:b/>
          <w:sz w:val="32"/>
          <w:szCs w:val="32"/>
        </w:rPr>
        <w:t xml:space="preserve">PADA PT.SEMEN </w:t>
      </w:r>
      <w:r>
        <w:rPr>
          <w:rFonts w:ascii="Times New Roman" w:hAnsi="Times New Roman" w:cs="Times New Roman"/>
          <w:b/>
          <w:sz w:val="32"/>
          <w:szCs w:val="32"/>
          <w:lang w:val="id-ID"/>
        </w:rPr>
        <w:t>INDONESIA</w:t>
      </w:r>
      <w:r>
        <w:rPr>
          <w:rFonts w:ascii="Times New Roman" w:hAnsi="Times New Roman" w:cs="Times New Roman"/>
          <w:b/>
          <w:sz w:val="32"/>
          <w:szCs w:val="32"/>
        </w:rPr>
        <w:t>, TBK</w:t>
      </w:r>
      <w:r>
        <w:rPr>
          <w:rFonts w:ascii="Times New Roman" w:hAnsi="Times New Roman" w:cs="Times New Roman"/>
          <w:b/>
          <w:sz w:val="32"/>
          <w:szCs w:val="32"/>
          <w:lang w:val="id-ID"/>
        </w:rPr>
        <w:t xml:space="preserve"> PERIODE 20</w:t>
      </w:r>
      <w:r>
        <w:rPr>
          <w:rFonts w:ascii="Times New Roman" w:hAnsi="Times New Roman" w:cs="Times New Roman"/>
          <w:b/>
          <w:sz w:val="32"/>
          <w:szCs w:val="32"/>
        </w:rPr>
        <w:t>05</w:t>
      </w:r>
      <w:r>
        <w:rPr>
          <w:rFonts w:ascii="Times New Roman" w:hAnsi="Times New Roman" w:cs="Times New Roman"/>
          <w:b/>
          <w:sz w:val="32"/>
          <w:szCs w:val="32"/>
          <w:lang w:val="id-ID"/>
        </w:rPr>
        <w:t xml:space="preserve"> – 2014)</w:t>
      </w:r>
    </w:p>
    <w:p w:rsidR="00DC1DCA" w:rsidRPr="00DC1DCA" w:rsidRDefault="00DC1DCA" w:rsidP="00DC1DCA">
      <w:pPr>
        <w:spacing w:line="240" w:lineRule="auto"/>
        <w:jc w:val="center"/>
        <w:rPr>
          <w:rFonts w:ascii="Times New Roman" w:hAnsi="Times New Roman" w:cs="Times New Roman"/>
          <w:b/>
          <w:sz w:val="30"/>
          <w:szCs w:val="30"/>
          <w:lang w:val="sv-SE"/>
        </w:rPr>
      </w:pPr>
    </w:p>
    <w:p w:rsidR="00DC1DCA" w:rsidRPr="00444F72" w:rsidRDefault="00DC1DCA" w:rsidP="00DC1DCA">
      <w:pPr>
        <w:spacing w:line="240" w:lineRule="auto"/>
        <w:jc w:val="center"/>
        <w:rPr>
          <w:rFonts w:ascii="Times New Roman" w:hAnsi="Times New Roman" w:cs="Times New Roman"/>
          <w:b/>
          <w:sz w:val="28"/>
          <w:szCs w:val="28"/>
          <w:lang w:val="sv-SE"/>
        </w:rPr>
      </w:pPr>
      <w:r w:rsidRPr="00444F72">
        <w:rPr>
          <w:rFonts w:ascii="Times New Roman" w:hAnsi="Times New Roman" w:cs="Times New Roman"/>
          <w:b/>
          <w:sz w:val="28"/>
          <w:szCs w:val="28"/>
          <w:lang w:val="sv-SE"/>
        </w:rPr>
        <w:t>JURNAL ILMIAH</w:t>
      </w:r>
    </w:p>
    <w:p w:rsidR="00DC1DCA" w:rsidRPr="00902EE3" w:rsidRDefault="00DC1DCA" w:rsidP="00DC1DCA">
      <w:pPr>
        <w:spacing w:line="240" w:lineRule="auto"/>
        <w:rPr>
          <w:rFonts w:ascii="Arial" w:hAnsi="Arial" w:cs="Arial"/>
          <w:b/>
          <w:sz w:val="28"/>
          <w:szCs w:val="28"/>
          <w:lang w:val="sv-SE"/>
        </w:rPr>
      </w:pPr>
    </w:p>
    <w:p w:rsidR="00DC1DCA" w:rsidRPr="00444F72" w:rsidRDefault="00DC1DCA" w:rsidP="00DC1DCA">
      <w:pPr>
        <w:spacing w:line="240" w:lineRule="auto"/>
        <w:jc w:val="center"/>
        <w:rPr>
          <w:rFonts w:ascii="Times New Roman" w:hAnsi="Times New Roman" w:cs="Times New Roman"/>
          <w:b/>
          <w:sz w:val="24"/>
          <w:szCs w:val="24"/>
          <w:lang w:val="sv-SE"/>
        </w:rPr>
      </w:pPr>
      <w:r w:rsidRPr="00444F72">
        <w:rPr>
          <w:rFonts w:ascii="Times New Roman" w:hAnsi="Times New Roman" w:cs="Times New Roman"/>
          <w:b/>
          <w:sz w:val="24"/>
          <w:szCs w:val="24"/>
          <w:lang w:val="sv-SE"/>
        </w:rPr>
        <w:t>Disusun oleh :</w:t>
      </w:r>
    </w:p>
    <w:p w:rsidR="00DC1DCA" w:rsidRPr="00444F72" w:rsidRDefault="00DC1DCA" w:rsidP="00DC1DCA">
      <w:pPr>
        <w:spacing w:line="240" w:lineRule="auto"/>
        <w:rPr>
          <w:rFonts w:ascii="Times New Roman" w:hAnsi="Times New Roman" w:cs="Times New Roman"/>
          <w:b/>
          <w:sz w:val="24"/>
          <w:szCs w:val="24"/>
          <w:lang w:val="sv-SE"/>
        </w:rPr>
      </w:pPr>
    </w:p>
    <w:p w:rsidR="00DC1DCA" w:rsidRPr="00DC1DCA" w:rsidRDefault="00DC1DCA" w:rsidP="00DC1D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Muhammad Firmansyah</w:t>
      </w:r>
    </w:p>
    <w:p w:rsidR="00DC1DCA" w:rsidRPr="00DC1DCA" w:rsidRDefault="00DC1DCA" w:rsidP="00DC1DCA">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11502040711100</w:t>
      </w:r>
      <w:r>
        <w:rPr>
          <w:rFonts w:ascii="Times New Roman" w:hAnsi="Times New Roman" w:cs="Times New Roman"/>
          <w:b/>
          <w:sz w:val="24"/>
          <w:szCs w:val="24"/>
        </w:rPr>
        <w:t>7</w:t>
      </w:r>
    </w:p>
    <w:p w:rsidR="00DC1DCA" w:rsidRPr="00444F72" w:rsidRDefault="00DC1DCA" w:rsidP="00DC1DCA">
      <w:pPr>
        <w:spacing w:line="240" w:lineRule="auto"/>
        <w:rPr>
          <w:rFonts w:ascii="Times New Roman" w:hAnsi="Times New Roman" w:cs="Times New Roman"/>
          <w:b/>
          <w:sz w:val="24"/>
          <w:szCs w:val="24"/>
          <w:lang w:val="sv-SE"/>
        </w:rPr>
      </w:pPr>
    </w:p>
    <w:p w:rsidR="00DC1DCA" w:rsidRPr="00444F72" w:rsidRDefault="00DC1DCA" w:rsidP="00DC1DCA">
      <w:pPr>
        <w:spacing w:line="240" w:lineRule="auto"/>
        <w:jc w:val="center"/>
        <w:rPr>
          <w:rFonts w:ascii="Times New Roman" w:hAnsi="Times New Roman" w:cs="Times New Roman"/>
          <w:b/>
          <w:sz w:val="24"/>
          <w:szCs w:val="24"/>
          <w:lang w:val="sv-SE"/>
        </w:rPr>
      </w:pPr>
      <w:r>
        <w:rPr>
          <w:rFonts w:ascii="Times New Roman" w:hAnsi="Times New Roman" w:cs="Times New Roman"/>
          <w:b/>
          <w:noProof/>
          <w:sz w:val="24"/>
          <w:szCs w:val="24"/>
        </w:rPr>
        <w:drawing>
          <wp:inline distT="0" distB="0" distL="0" distR="0">
            <wp:extent cx="1362278" cy="1388788"/>
            <wp:effectExtent l="19050" t="0" r="9322" b="0"/>
            <wp:docPr id="7" name="Picture 7" descr="D:\Logo FEBUB\logo\FEB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ogo FEBUB\logo\FEB White.png"/>
                    <pic:cNvPicPr>
                      <a:picLocks noChangeAspect="1" noChangeArrowheads="1"/>
                    </pic:cNvPicPr>
                  </pic:nvPicPr>
                  <pic:blipFill>
                    <a:blip r:embed="rId5" cstate="print"/>
                    <a:srcRect/>
                    <a:stretch>
                      <a:fillRect/>
                    </a:stretch>
                  </pic:blipFill>
                  <pic:spPr bwMode="auto">
                    <a:xfrm>
                      <a:off x="0" y="0"/>
                      <a:ext cx="1364728" cy="1391286"/>
                    </a:xfrm>
                    <a:prstGeom prst="rect">
                      <a:avLst/>
                    </a:prstGeom>
                    <a:noFill/>
                    <a:ln w="9525">
                      <a:noFill/>
                      <a:miter lim="800000"/>
                      <a:headEnd/>
                      <a:tailEnd/>
                    </a:ln>
                  </pic:spPr>
                </pic:pic>
              </a:graphicData>
            </a:graphic>
          </wp:inline>
        </w:drawing>
      </w:r>
    </w:p>
    <w:p w:rsidR="00DC1DCA" w:rsidRPr="00444F72" w:rsidRDefault="00DC1DCA" w:rsidP="00DC1DCA">
      <w:pPr>
        <w:spacing w:line="240" w:lineRule="auto"/>
        <w:rPr>
          <w:rFonts w:ascii="Times New Roman" w:hAnsi="Times New Roman" w:cs="Times New Roman"/>
          <w:b/>
          <w:sz w:val="24"/>
          <w:szCs w:val="24"/>
          <w:lang w:val="sv-SE"/>
        </w:rPr>
      </w:pPr>
    </w:p>
    <w:p w:rsidR="00DC1DCA" w:rsidRPr="00444F72" w:rsidRDefault="00DC1DCA" w:rsidP="00DC1DCA">
      <w:pPr>
        <w:spacing w:line="240" w:lineRule="auto"/>
        <w:jc w:val="center"/>
        <w:rPr>
          <w:rFonts w:ascii="Times New Roman" w:hAnsi="Times New Roman" w:cs="Times New Roman"/>
          <w:b/>
          <w:sz w:val="24"/>
          <w:szCs w:val="24"/>
          <w:lang w:val="sv-SE"/>
        </w:rPr>
      </w:pPr>
      <w:r w:rsidRPr="00444F72">
        <w:rPr>
          <w:rFonts w:ascii="Times New Roman" w:hAnsi="Times New Roman" w:cs="Times New Roman"/>
          <w:b/>
          <w:sz w:val="24"/>
          <w:szCs w:val="24"/>
          <w:lang w:val="sv-SE"/>
        </w:rPr>
        <w:t>JURUSAN ILMU EKONOMI</w:t>
      </w:r>
    </w:p>
    <w:p w:rsidR="00DC1DCA" w:rsidRPr="00444F72" w:rsidRDefault="00DC1DCA" w:rsidP="00DC1DCA">
      <w:pPr>
        <w:spacing w:line="240" w:lineRule="auto"/>
        <w:jc w:val="center"/>
        <w:rPr>
          <w:rFonts w:ascii="Times New Roman" w:hAnsi="Times New Roman" w:cs="Times New Roman"/>
          <w:b/>
          <w:sz w:val="24"/>
          <w:szCs w:val="24"/>
          <w:lang w:val="sv-SE"/>
        </w:rPr>
      </w:pPr>
      <w:r w:rsidRPr="00444F72">
        <w:rPr>
          <w:rFonts w:ascii="Times New Roman" w:hAnsi="Times New Roman" w:cs="Times New Roman"/>
          <w:b/>
          <w:sz w:val="24"/>
          <w:szCs w:val="24"/>
          <w:lang w:val="sv-SE"/>
        </w:rPr>
        <w:t>FAKULTAS EKONOMI DAN BISNIS</w:t>
      </w:r>
    </w:p>
    <w:p w:rsidR="00DC1DCA" w:rsidRPr="00444F72" w:rsidRDefault="00DC1DCA" w:rsidP="00DC1DCA">
      <w:pPr>
        <w:spacing w:line="240" w:lineRule="auto"/>
        <w:jc w:val="center"/>
        <w:rPr>
          <w:rFonts w:ascii="Times New Roman" w:hAnsi="Times New Roman" w:cs="Times New Roman"/>
          <w:b/>
          <w:sz w:val="24"/>
          <w:szCs w:val="24"/>
          <w:lang w:val="fr-FR"/>
        </w:rPr>
      </w:pPr>
      <w:r w:rsidRPr="00444F72">
        <w:rPr>
          <w:rFonts w:ascii="Times New Roman" w:hAnsi="Times New Roman" w:cs="Times New Roman"/>
          <w:b/>
          <w:sz w:val="24"/>
          <w:szCs w:val="24"/>
          <w:lang w:val="fr-FR"/>
        </w:rPr>
        <w:t>UNIVERSITAS BRAWIJAYA</w:t>
      </w:r>
    </w:p>
    <w:p w:rsidR="00DC1DCA" w:rsidRPr="00444F72" w:rsidRDefault="00DC1DCA" w:rsidP="00DC1DCA">
      <w:pPr>
        <w:spacing w:line="240" w:lineRule="auto"/>
        <w:jc w:val="center"/>
        <w:rPr>
          <w:rFonts w:ascii="Times New Roman" w:hAnsi="Times New Roman" w:cs="Times New Roman"/>
          <w:b/>
          <w:sz w:val="24"/>
          <w:szCs w:val="24"/>
          <w:lang w:val="fr-FR"/>
        </w:rPr>
      </w:pPr>
      <w:r w:rsidRPr="00444F72">
        <w:rPr>
          <w:rFonts w:ascii="Times New Roman" w:hAnsi="Times New Roman" w:cs="Times New Roman"/>
          <w:b/>
          <w:sz w:val="24"/>
          <w:szCs w:val="24"/>
          <w:lang w:val="fr-FR"/>
        </w:rPr>
        <w:t>MALANG</w:t>
      </w:r>
    </w:p>
    <w:p w:rsidR="00DC1DCA" w:rsidRPr="000453B6" w:rsidRDefault="00DC1DCA" w:rsidP="00DC1DCA">
      <w:pPr>
        <w:spacing w:line="240" w:lineRule="auto"/>
        <w:jc w:val="center"/>
        <w:rPr>
          <w:rFonts w:ascii="Times New Roman" w:hAnsi="Times New Roman" w:cs="Times New Roman"/>
          <w:b/>
          <w:sz w:val="24"/>
          <w:szCs w:val="24"/>
          <w:lang w:val="id-ID"/>
        </w:rPr>
      </w:pPr>
      <w:r w:rsidRPr="00444F72">
        <w:rPr>
          <w:rFonts w:ascii="Times New Roman" w:hAnsi="Times New Roman" w:cs="Times New Roman"/>
          <w:b/>
          <w:sz w:val="24"/>
          <w:szCs w:val="24"/>
          <w:lang w:val="fr-FR"/>
        </w:rPr>
        <w:t>201</w:t>
      </w:r>
      <w:r>
        <w:rPr>
          <w:rFonts w:ascii="Times New Roman" w:hAnsi="Times New Roman" w:cs="Times New Roman"/>
          <w:b/>
          <w:sz w:val="24"/>
          <w:szCs w:val="24"/>
          <w:lang w:val="id-ID"/>
        </w:rPr>
        <w:t>5</w:t>
      </w:r>
    </w:p>
    <w:p w:rsidR="00DC1DCA" w:rsidRDefault="00DC1DCA" w:rsidP="00DC1DCA">
      <w:pPr>
        <w:rPr>
          <w:lang w:val="id-ID"/>
        </w:rPr>
      </w:pPr>
    </w:p>
    <w:p w:rsidR="00DC1DCA" w:rsidRDefault="00DC1DCA" w:rsidP="00DC1DCA">
      <w:pPr>
        <w:rPr>
          <w:lang w:val="id-ID"/>
        </w:rPr>
      </w:pPr>
    </w:p>
    <w:p w:rsidR="00DC1DCA" w:rsidRDefault="00DC1DCA" w:rsidP="00DC1DCA">
      <w:pPr>
        <w:jc w:val="center"/>
        <w:rPr>
          <w:rFonts w:ascii="Times New Roman" w:hAnsi="Times New Roman" w:cs="Times New Roman"/>
          <w:b/>
          <w:bCs/>
          <w:color w:val="000000"/>
          <w:sz w:val="24"/>
          <w:szCs w:val="24"/>
        </w:rPr>
      </w:pPr>
    </w:p>
    <w:p w:rsidR="00DC1DCA" w:rsidRDefault="00DC1DCA" w:rsidP="00DC1DCA">
      <w:pPr>
        <w:jc w:val="center"/>
        <w:rPr>
          <w:rFonts w:ascii="Times New Roman" w:hAnsi="Times New Roman" w:cs="Times New Roman"/>
          <w:b/>
          <w:bCs/>
          <w:color w:val="000000"/>
          <w:sz w:val="24"/>
          <w:szCs w:val="24"/>
        </w:rPr>
      </w:pPr>
    </w:p>
    <w:p w:rsidR="00DC1DCA" w:rsidRDefault="00DC1DCA" w:rsidP="00DC1DC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LEMBAR PENGESAHAN PENULISAN ARTIKEL JURNAL</w:t>
      </w:r>
    </w:p>
    <w:p w:rsidR="00DC1DCA" w:rsidRDefault="00DC1DCA" w:rsidP="00DC1DCA">
      <w:pPr>
        <w:rPr>
          <w:rFonts w:ascii="Times New Roman" w:hAnsi="Times New Roman" w:cs="Times New Roman"/>
          <w:b/>
          <w:bCs/>
          <w:color w:val="000000"/>
          <w:sz w:val="24"/>
          <w:szCs w:val="24"/>
        </w:rPr>
      </w:pPr>
    </w:p>
    <w:p w:rsidR="00DC1DCA" w:rsidRDefault="00DC1DCA" w:rsidP="00DC1DCA">
      <w:pPr>
        <w:rPr>
          <w:rFonts w:ascii="Times New Roman" w:hAnsi="Times New Roman" w:cs="Times New Roman"/>
          <w:bCs/>
          <w:color w:val="000000"/>
          <w:sz w:val="24"/>
          <w:szCs w:val="24"/>
          <w:lang w:val="id-ID"/>
        </w:rPr>
      </w:pPr>
      <w:r w:rsidRPr="00603B86">
        <w:rPr>
          <w:rFonts w:ascii="Times New Roman" w:hAnsi="Times New Roman" w:cs="Times New Roman"/>
          <w:bCs/>
          <w:color w:val="000000"/>
          <w:sz w:val="24"/>
          <w:szCs w:val="24"/>
        </w:rPr>
        <w:t xml:space="preserve">Artikel Jurnal dengan </w:t>
      </w:r>
      <w:proofErr w:type="gramStart"/>
      <w:r w:rsidRPr="00603B86">
        <w:rPr>
          <w:rFonts w:ascii="Times New Roman" w:hAnsi="Times New Roman" w:cs="Times New Roman"/>
          <w:bCs/>
          <w:color w:val="000000"/>
          <w:sz w:val="24"/>
          <w:szCs w:val="24"/>
        </w:rPr>
        <w:t>judul :</w:t>
      </w:r>
      <w:proofErr w:type="gramEnd"/>
    </w:p>
    <w:p w:rsidR="00DC1DCA" w:rsidRPr="000453B6" w:rsidRDefault="00DC1DCA" w:rsidP="00DC1DCA">
      <w:pPr>
        <w:rPr>
          <w:rFonts w:ascii="Times New Roman" w:hAnsi="Times New Roman" w:cs="Times New Roman"/>
          <w:bCs/>
          <w:color w:val="000000"/>
          <w:sz w:val="24"/>
          <w:szCs w:val="24"/>
          <w:lang w:val="id-ID"/>
        </w:rPr>
      </w:pPr>
    </w:p>
    <w:p w:rsidR="00DC1DCA" w:rsidRPr="00DC1DCA" w:rsidRDefault="00DC1DCA" w:rsidP="00DC1D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PENGARUH INFLASI, NILAI TUKAR, TINGKAT SUKU BUNGA, DAN PERTUMBUHAN EKONOMI TERHADAP </w:t>
      </w:r>
      <w:r w:rsidRPr="001E08ED">
        <w:rPr>
          <w:rFonts w:ascii="Times New Roman" w:hAnsi="Times New Roman" w:cs="Times New Roman"/>
          <w:b/>
          <w:i/>
          <w:iCs/>
          <w:sz w:val="24"/>
          <w:szCs w:val="24"/>
        </w:rPr>
        <w:t>RETURN</w:t>
      </w:r>
      <w:r>
        <w:rPr>
          <w:rFonts w:ascii="Times New Roman" w:hAnsi="Times New Roman" w:cs="Times New Roman"/>
          <w:b/>
          <w:sz w:val="24"/>
          <w:szCs w:val="24"/>
        </w:rPr>
        <w:t xml:space="preserve"> SAHAM</w:t>
      </w:r>
    </w:p>
    <w:p w:rsidR="00DC1DCA" w:rsidRPr="000453B6" w:rsidRDefault="00DC1DCA" w:rsidP="00DC1DCA">
      <w:pPr>
        <w:spacing w:line="240" w:lineRule="auto"/>
        <w:jc w:val="center"/>
        <w:rPr>
          <w:rFonts w:ascii="Times New Roman" w:hAnsi="Times New Roman" w:cs="Times New Roman"/>
          <w:b/>
          <w:sz w:val="24"/>
          <w:szCs w:val="24"/>
          <w:lang w:val="sv-SE"/>
        </w:rPr>
      </w:pPr>
      <w:r w:rsidRPr="000453B6">
        <w:rPr>
          <w:rFonts w:ascii="Times New Roman" w:hAnsi="Times New Roman" w:cs="Times New Roman"/>
          <w:b/>
          <w:sz w:val="24"/>
          <w:szCs w:val="24"/>
          <w:lang w:val="id-ID"/>
        </w:rPr>
        <w:t xml:space="preserve">(STUDI KASUS </w:t>
      </w:r>
      <w:r>
        <w:rPr>
          <w:rFonts w:ascii="Times New Roman" w:hAnsi="Times New Roman" w:cs="Times New Roman"/>
          <w:b/>
          <w:sz w:val="24"/>
          <w:szCs w:val="24"/>
        </w:rPr>
        <w:t xml:space="preserve">PADA PT.SEMEN </w:t>
      </w:r>
      <w:r w:rsidRPr="000453B6">
        <w:rPr>
          <w:rFonts w:ascii="Times New Roman" w:hAnsi="Times New Roman" w:cs="Times New Roman"/>
          <w:b/>
          <w:sz w:val="24"/>
          <w:szCs w:val="24"/>
          <w:lang w:val="id-ID"/>
        </w:rPr>
        <w:t>INDONESIA</w:t>
      </w:r>
      <w:r>
        <w:rPr>
          <w:rFonts w:ascii="Times New Roman" w:hAnsi="Times New Roman" w:cs="Times New Roman"/>
          <w:b/>
          <w:sz w:val="24"/>
          <w:szCs w:val="24"/>
        </w:rPr>
        <w:t>,TBK</w:t>
      </w:r>
      <w:r w:rsidRPr="000453B6">
        <w:rPr>
          <w:rFonts w:ascii="Times New Roman" w:hAnsi="Times New Roman" w:cs="Times New Roman"/>
          <w:b/>
          <w:sz w:val="24"/>
          <w:szCs w:val="24"/>
          <w:lang w:val="id-ID"/>
        </w:rPr>
        <w:t xml:space="preserve"> PERIODE </w:t>
      </w:r>
      <w:r>
        <w:rPr>
          <w:rFonts w:ascii="Times New Roman" w:hAnsi="Times New Roman" w:cs="Times New Roman"/>
          <w:b/>
          <w:sz w:val="24"/>
          <w:szCs w:val="24"/>
          <w:lang w:val="id-ID"/>
        </w:rPr>
        <w:t>20</w:t>
      </w:r>
      <w:r>
        <w:rPr>
          <w:rFonts w:ascii="Times New Roman" w:hAnsi="Times New Roman" w:cs="Times New Roman"/>
          <w:b/>
          <w:sz w:val="24"/>
          <w:szCs w:val="24"/>
        </w:rPr>
        <w:t>05</w:t>
      </w:r>
      <w:r w:rsidRPr="000453B6">
        <w:rPr>
          <w:rFonts w:ascii="Times New Roman" w:hAnsi="Times New Roman" w:cs="Times New Roman"/>
          <w:b/>
          <w:sz w:val="24"/>
          <w:szCs w:val="24"/>
          <w:lang w:val="id-ID"/>
        </w:rPr>
        <w:t xml:space="preserve"> – 2014)</w:t>
      </w:r>
    </w:p>
    <w:p w:rsidR="00DC1DCA" w:rsidRPr="00DC1DCA" w:rsidRDefault="00DC1DCA" w:rsidP="00DC1DCA">
      <w:pPr>
        <w:rPr>
          <w:rFonts w:ascii="Times New Roman" w:hAnsi="Times New Roman" w:cs="Times New Roman"/>
          <w:b/>
          <w:sz w:val="24"/>
          <w:szCs w:val="24"/>
          <w:lang w:val="sv-SE"/>
        </w:rPr>
      </w:pPr>
    </w:p>
    <w:p w:rsidR="00DC1DCA" w:rsidRPr="000453B6" w:rsidRDefault="00DC1DCA" w:rsidP="00DC1DCA">
      <w:pPr>
        <w:rPr>
          <w:rFonts w:ascii="Times New Roman" w:hAnsi="Times New Roman" w:cs="Times New Roman"/>
          <w:b/>
          <w:sz w:val="24"/>
          <w:szCs w:val="24"/>
          <w:lang w:val="id-ID"/>
        </w:rPr>
      </w:pPr>
    </w:p>
    <w:p w:rsidR="00DC1DCA" w:rsidRDefault="00DC1DCA" w:rsidP="00DC1DCA">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Yang disusun </w:t>
      </w:r>
      <w:proofErr w:type="gramStart"/>
      <w:r>
        <w:rPr>
          <w:rFonts w:ascii="Times New Roman" w:hAnsi="Times New Roman" w:cs="Times New Roman"/>
          <w:bCs/>
          <w:color w:val="000000"/>
          <w:sz w:val="24"/>
          <w:szCs w:val="24"/>
        </w:rPr>
        <w:t>oleh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318"/>
        <w:gridCol w:w="4926"/>
      </w:tblGrid>
      <w:tr w:rsidR="00DC1DCA" w:rsidTr="002F5263">
        <w:tc>
          <w:tcPr>
            <w:tcW w:w="2235" w:type="dxa"/>
          </w:tcPr>
          <w:p w:rsidR="00DC1DCA" w:rsidRDefault="00DC1DCA" w:rsidP="002F5263">
            <w:pPr>
              <w:spacing w:line="360" w:lineRule="auto"/>
              <w:rPr>
                <w:rFonts w:ascii="Times New Roman" w:hAnsi="Times New Roman"/>
                <w:bCs/>
                <w:color w:val="000000"/>
                <w:sz w:val="24"/>
                <w:szCs w:val="24"/>
              </w:rPr>
            </w:pPr>
            <w:r>
              <w:rPr>
                <w:rFonts w:ascii="Times New Roman" w:hAnsi="Times New Roman"/>
                <w:bCs/>
                <w:color w:val="000000"/>
                <w:sz w:val="24"/>
                <w:szCs w:val="24"/>
              </w:rPr>
              <w:t>Nama</w:t>
            </w:r>
          </w:p>
        </w:tc>
        <w:tc>
          <w:tcPr>
            <w:tcW w:w="318" w:type="dxa"/>
          </w:tcPr>
          <w:p w:rsidR="00DC1DCA" w:rsidRDefault="00DC1DCA" w:rsidP="002F5263">
            <w:pPr>
              <w:spacing w:line="360" w:lineRule="auto"/>
              <w:rPr>
                <w:rFonts w:ascii="Times New Roman" w:hAnsi="Times New Roman"/>
                <w:bCs/>
                <w:color w:val="000000"/>
                <w:sz w:val="24"/>
                <w:szCs w:val="24"/>
              </w:rPr>
            </w:pPr>
            <w:r>
              <w:rPr>
                <w:rFonts w:ascii="Times New Roman" w:hAnsi="Times New Roman"/>
                <w:bCs/>
                <w:color w:val="000000"/>
                <w:sz w:val="24"/>
                <w:szCs w:val="24"/>
              </w:rPr>
              <w:t>:</w:t>
            </w:r>
          </w:p>
        </w:tc>
        <w:tc>
          <w:tcPr>
            <w:tcW w:w="4926" w:type="dxa"/>
          </w:tcPr>
          <w:p w:rsidR="00DC1DCA" w:rsidRPr="00DC1DCA" w:rsidRDefault="00DC1DCA" w:rsidP="002F5263">
            <w:pPr>
              <w:spacing w:line="360" w:lineRule="auto"/>
              <w:rPr>
                <w:rFonts w:ascii="Times New Roman" w:hAnsi="Times New Roman"/>
                <w:bCs/>
                <w:color w:val="000000"/>
                <w:sz w:val="24"/>
                <w:szCs w:val="24"/>
                <w:lang w:val="en-US"/>
              </w:rPr>
            </w:pPr>
            <w:r>
              <w:rPr>
                <w:rFonts w:ascii="Times New Roman" w:hAnsi="Times New Roman"/>
                <w:bCs/>
                <w:color w:val="000000"/>
                <w:sz w:val="24"/>
                <w:szCs w:val="24"/>
                <w:lang w:val="en-US"/>
              </w:rPr>
              <w:t>Muhammad Firmansyah</w:t>
            </w:r>
          </w:p>
        </w:tc>
      </w:tr>
      <w:tr w:rsidR="00DC1DCA" w:rsidTr="002F5263">
        <w:tc>
          <w:tcPr>
            <w:tcW w:w="2235" w:type="dxa"/>
          </w:tcPr>
          <w:p w:rsidR="00DC1DCA" w:rsidRDefault="00DC1DCA" w:rsidP="002F5263">
            <w:pPr>
              <w:spacing w:line="360" w:lineRule="auto"/>
              <w:rPr>
                <w:rFonts w:ascii="Times New Roman" w:hAnsi="Times New Roman"/>
                <w:bCs/>
                <w:color w:val="000000"/>
                <w:sz w:val="24"/>
                <w:szCs w:val="24"/>
              </w:rPr>
            </w:pPr>
            <w:r>
              <w:rPr>
                <w:rFonts w:ascii="Times New Roman" w:hAnsi="Times New Roman"/>
                <w:bCs/>
                <w:color w:val="000000"/>
                <w:sz w:val="24"/>
                <w:szCs w:val="24"/>
              </w:rPr>
              <w:t>NIM</w:t>
            </w:r>
          </w:p>
        </w:tc>
        <w:tc>
          <w:tcPr>
            <w:tcW w:w="318" w:type="dxa"/>
          </w:tcPr>
          <w:p w:rsidR="00DC1DCA" w:rsidRDefault="00DC1DCA" w:rsidP="002F5263">
            <w:pPr>
              <w:spacing w:line="360" w:lineRule="auto"/>
              <w:rPr>
                <w:rFonts w:ascii="Times New Roman" w:hAnsi="Times New Roman"/>
                <w:bCs/>
                <w:color w:val="000000"/>
                <w:sz w:val="24"/>
                <w:szCs w:val="24"/>
              </w:rPr>
            </w:pPr>
            <w:r>
              <w:rPr>
                <w:rFonts w:ascii="Times New Roman" w:hAnsi="Times New Roman"/>
                <w:bCs/>
                <w:color w:val="000000"/>
                <w:sz w:val="24"/>
                <w:szCs w:val="24"/>
              </w:rPr>
              <w:t>:</w:t>
            </w:r>
          </w:p>
        </w:tc>
        <w:tc>
          <w:tcPr>
            <w:tcW w:w="4926" w:type="dxa"/>
          </w:tcPr>
          <w:p w:rsidR="00DC1DCA" w:rsidRPr="00DC1DCA" w:rsidRDefault="00DC1DCA" w:rsidP="002F5263">
            <w:pPr>
              <w:spacing w:line="360" w:lineRule="auto"/>
              <w:rPr>
                <w:rFonts w:ascii="Times New Roman" w:hAnsi="Times New Roman"/>
                <w:bCs/>
                <w:color w:val="000000"/>
                <w:sz w:val="24"/>
                <w:szCs w:val="24"/>
                <w:lang w:val="en-US"/>
              </w:rPr>
            </w:pPr>
            <w:r>
              <w:rPr>
                <w:rFonts w:ascii="Times New Roman" w:hAnsi="Times New Roman"/>
                <w:bCs/>
                <w:color w:val="000000"/>
                <w:sz w:val="24"/>
                <w:szCs w:val="24"/>
              </w:rPr>
              <w:t>11502040711100</w:t>
            </w:r>
            <w:r>
              <w:rPr>
                <w:rFonts w:ascii="Times New Roman" w:hAnsi="Times New Roman"/>
                <w:bCs/>
                <w:color w:val="000000"/>
                <w:sz w:val="24"/>
                <w:szCs w:val="24"/>
                <w:lang w:val="en-US"/>
              </w:rPr>
              <w:t>7</w:t>
            </w:r>
          </w:p>
        </w:tc>
      </w:tr>
      <w:tr w:rsidR="00DC1DCA" w:rsidTr="002F5263">
        <w:tc>
          <w:tcPr>
            <w:tcW w:w="2235" w:type="dxa"/>
          </w:tcPr>
          <w:p w:rsidR="00DC1DCA" w:rsidRDefault="00DC1DCA" w:rsidP="002F5263">
            <w:pPr>
              <w:spacing w:line="360" w:lineRule="auto"/>
              <w:rPr>
                <w:rFonts w:ascii="Times New Roman" w:hAnsi="Times New Roman"/>
                <w:bCs/>
                <w:color w:val="000000"/>
                <w:sz w:val="24"/>
                <w:szCs w:val="24"/>
              </w:rPr>
            </w:pPr>
            <w:r>
              <w:rPr>
                <w:rFonts w:ascii="Times New Roman" w:hAnsi="Times New Roman"/>
                <w:bCs/>
                <w:color w:val="000000"/>
                <w:sz w:val="24"/>
                <w:szCs w:val="24"/>
              </w:rPr>
              <w:t>Fakultas</w:t>
            </w:r>
          </w:p>
        </w:tc>
        <w:tc>
          <w:tcPr>
            <w:tcW w:w="318" w:type="dxa"/>
          </w:tcPr>
          <w:p w:rsidR="00DC1DCA" w:rsidRDefault="00DC1DCA" w:rsidP="002F5263">
            <w:pPr>
              <w:spacing w:line="360" w:lineRule="auto"/>
              <w:rPr>
                <w:rFonts w:ascii="Times New Roman" w:hAnsi="Times New Roman"/>
                <w:bCs/>
                <w:color w:val="000000"/>
                <w:sz w:val="24"/>
                <w:szCs w:val="24"/>
              </w:rPr>
            </w:pPr>
            <w:r>
              <w:rPr>
                <w:rFonts w:ascii="Times New Roman" w:hAnsi="Times New Roman"/>
                <w:bCs/>
                <w:color w:val="000000"/>
                <w:sz w:val="24"/>
                <w:szCs w:val="24"/>
              </w:rPr>
              <w:t>:</w:t>
            </w:r>
          </w:p>
        </w:tc>
        <w:tc>
          <w:tcPr>
            <w:tcW w:w="4926" w:type="dxa"/>
          </w:tcPr>
          <w:p w:rsidR="00DC1DCA" w:rsidRDefault="00DC1DCA" w:rsidP="002F5263">
            <w:pPr>
              <w:spacing w:line="360" w:lineRule="auto"/>
              <w:rPr>
                <w:rFonts w:ascii="Times New Roman" w:hAnsi="Times New Roman"/>
                <w:bCs/>
                <w:color w:val="000000"/>
                <w:sz w:val="24"/>
                <w:szCs w:val="24"/>
              </w:rPr>
            </w:pPr>
            <w:r>
              <w:rPr>
                <w:rFonts w:ascii="Times New Roman" w:hAnsi="Times New Roman"/>
                <w:bCs/>
                <w:color w:val="000000"/>
                <w:sz w:val="24"/>
                <w:szCs w:val="24"/>
              </w:rPr>
              <w:t>Ekonomi dan Bisnis</w:t>
            </w:r>
          </w:p>
        </w:tc>
      </w:tr>
      <w:tr w:rsidR="00DC1DCA" w:rsidTr="002F5263">
        <w:tc>
          <w:tcPr>
            <w:tcW w:w="2235" w:type="dxa"/>
          </w:tcPr>
          <w:p w:rsidR="00DC1DCA" w:rsidRDefault="00DC1DCA" w:rsidP="002F5263">
            <w:pPr>
              <w:spacing w:line="360" w:lineRule="auto"/>
              <w:rPr>
                <w:rFonts w:ascii="Times New Roman" w:hAnsi="Times New Roman"/>
                <w:bCs/>
                <w:color w:val="000000"/>
                <w:sz w:val="24"/>
                <w:szCs w:val="24"/>
              </w:rPr>
            </w:pPr>
            <w:r>
              <w:rPr>
                <w:rFonts w:ascii="Times New Roman" w:hAnsi="Times New Roman"/>
                <w:bCs/>
                <w:color w:val="000000"/>
                <w:sz w:val="24"/>
                <w:szCs w:val="24"/>
              </w:rPr>
              <w:t>Jurusan</w:t>
            </w:r>
          </w:p>
        </w:tc>
        <w:tc>
          <w:tcPr>
            <w:tcW w:w="318" w:type="dxa"/>
          </w:tcPr>
          <w:p w:rsidR="00DC1DCA" w:rsidRDefault="00DC1DCA" w:rsidP="002F5263">
            <w:pPr>
              <w:spacing w:line="360" w:lineRule="auto"/>
              <w:rPr>
                <w:rFonts w:ascii="Times New Roman" w:hAnsi="Times New Roman"/>
                <w:bCs/>
                <w:color w:val="000000"/>
                <w:sz w:val="24"/>
                <w:szCs w:val="24"/>
              </w:rPr>
            </w:pPr>
            <w:r>
              <w:rPr>
                <w:rFonts w:ascii="Times New Roman" w:hAnsi="Times New Roman"/>
                <w:bCs/>
                <w:color w:val="000000"/>
                <w:sz w:val="24"/>
                <w:szCs w:val="24"/>
              </w:rPr>
              <w:t>:</w:t>
            </w:r>
          </w:p>
        </w:tc>
        <w:tc>
          <w:tcPr>
            <w:tcW w:w="4926" w:type="dxa"/>
          </w:tcPr>
          <w:p w:rsidR="00DC1DCA" w:rsidRDefault="00DC1DCA" w:rsidP="002F5263">
            <w:pPr>
              <w:spacing w:line="360" w:lineRule="auto"/>
              <w:rPr>
                <w:rFonts w:ascii="Times New Roman" w:hAnsi="Times New Roman"/>
                <w:bCs/>
                <w:color w:val="000000"/>
                <w:sz w:val="24"/>
                <w:szCs w:val="24"/>
              </w:rPr>
            </w:pPr>
            <w:r>
              <w:rPr>
                <w:rFonts w:ascii="Times New Roman" w:hAnsi="Times New Roman"/>
                <w:bCs/>
                <w:color w:val="000000"/>
                <w:sz w:val="24"/>
                <w:szCs w:val="24"/>
              </w:rPr>
              <w:t>S1 Ilmu Ekonomi</w:t>
            </w:r>
          </w:p>
        </w:tc>
      </w:tr>
    </w:tbl>
    <w:p w:rsidR="00DC1DCA" w:rsidRPr="000453B6" w:rsidRDefault="00DC1DCA" w:rsidP="00DC1DCA">
      <w:pPr>
        <w:spacing w:before="120" w:line="360" w:lineRule="auto"/>
        <w:rPr>
          <w:rFonts w:ascii="Times New Roman" w:hAnsi="Times New Roman" w:cs="Times New Roman"/>
          <w:bCs/>
          <w:color w:val="000000"/>
          <w:sz w:val="24"/>
          <w:szCs w:val="24"/>
          <w:lang w:val="id-ID"/>
        </w:rPr>
      </w:pPr>
      <w:r>
        <w:rPr>
          <w:rFonts w:ascii="Times New Roman" w:hAnsi="Times New Roman" w:cs="Times New Roman"/>
          <w:bCs/>
          <w:color w:val="000000"/>
          <w:sz w:val="24"/>
          <w:szCs w:val="24"/>
        </w:rPr>
        <w:t xml:space="preserve">Bahwa artikel Jurnal tersebut dibuat sebagai </w:t>
      </w:r>
      <w:r>
        <w:rPr>
          <w:rFonts w:ascii="Times New Roman" w:hAnsi="Times New Roman" w:cs="Times New Roman"/>
          <w:b/>
          <w:bCs/>
          <w:i/>
          <w:color w:val="000000"/>
          <w:sz w:val="24"/>
          <w:szCs w:val="24"/>
        </w:rPr>
        <w:t xml:space="preserve">persyaratan ujian skripsi </w:t>
      </w:r>
      <w:r>
        <w:rPr>
          <w:rFonts w:ascii="Times New Roman" w:hAnsi="Times New Roman" w:cs="Times New Roman"/>
          <w:bCs/>
          <w:color w:val="000000"/>
          <w:sz w:val="24"/>
          <w:szCs w:val="24"/>
        </w:rPr>
        <w:t>yang dipertahankan di depan Dewan Penguji pada tanggal 30Maret</w:t>
      </w:r>
      <w:r>
        <w:rPr>
          <w:rFonts w:ascii="Times New Roman" w:hAnsi="Times New Roman" w:cs="Times New Roman"/>
          <w:bCs/>
          <w:color w:val="000000"/>
          <w:sz w:val="24"/>
          <w:szCs w:val="24"/>
          <w:lang w:val="id-ID"/>
        </w:rPr>
        <w:t xml:space="preserve"> 2015</w:t>
      </w:r>
    </w:p>
    <w:p w:rsidR="00DC1DCA" w:rsidRDefault="00DC1DCA" w:rsidP="00DC1DCA">
      <w:pPr>
        <w:spacing w:line="360" w:lineRule="auto"/>
        <w:rPr>
          <w:rFonts w:ascii="Times New Roman" w:hAnsi="Times New Roman" w:cs="Times New Roman"/>
          <w:bCs/>
          <w:color w:val="000000"/>
          <w:sz w:val="24"/>
          <w:szCs w:val="24"/>
        </w:rPr>
      </w:pPr>
    </w:p>
    <w:p w:rsidR="00DC1DCA" w:rsidRPr="000453B6" w:rsidRDefault="00DC1DCA" w:rsidP="00DC1DCA">
      <w:pPr>
        <w:spacing w:line="360" w:lineRule="auto"/>
        <w:ind w:left="5103" w:hanging="567"/>
        <w:jc w:val="center"/>
        <w:rPr>
          <w:rFonts w:ascii="Times New Roman" w:hAnsi="Times New Roman" w:cs="Times New Roman"/>
          <w:bCs/>
          <w:color w:val="000000"/>
          <w:sz w:val="24"/>
          <w:szCs w:val="24"/>
          <w:lang w:val="id-ID"/>
        </w:rPr>
      </w:pPr>
      <w:r>
        <w:rPr>
          <w:rFonts w:ascii="Times New Roman" w:hAnsi="Times New Roman" w:cs="Times New Roman"/>
          <w:bCs/>
          <w:color w:val="000000"/>
          <w:sz w:val="24"/>
          <w:szCs w:val="24"/>
        </w:rPr>
        <w:t xml:space="preserve">Malang, </w:t>
      </w:r>
      <w:r w:rsidR="001E08ED">
        <w:rPr>
          <w:rFonts w:ascii="Times New Roman" w:hAnsi="Times New Roman" w:cs="Times New Roman"/>
          <w:bCs/>
          <w:color w:val="000000"/>
          <w:sz w:val="24"/>
          <w:szCs w:val="24"/>
        </w:rPr>
        <w:t>30Maret</w:t>
      </w:r>
      <w:r>
        <w:rPr>
          <w:rFonts w:ascii="Times New Roman" w:hAnsi="Times New Roman" w:cs="Times New Roman"/>
          <w:bCs/>
          <w:color w:val="000000"/>
          <w:sz w:val="24"/>
          <w:szCs w:val="24"/>
          <w:lang w:val="id-ID"/>
        </w:rPr>
        <w:t xml:space="preserve"> 2015</w:t>
      </w:r>
    </w:p>
    <w:p w:rsidR="00DC1DCA" w:rsidRDefault="00DC1DCA" w:rsidP="00DC1DCA">
      <w:pPr>
        <w:spacing w:line="360" w:lineRule="auto"/>
        <w:ind w:left="5103" w:hanging="567"/>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Dosen Pembimbing,</w:t>
      </w:r>
    </w:p>
    <w:p w:rsidR="00DC1DCA" w:rsidRDefault="00DC1DCA" w:rsidP="00DC1DCA">
      <w:pPr>
        <w:spacing w:line="360" w:lineRule="auto"/>
        <w:rPr>
          <w:rFonts w:ascii="Times New Roman" w:hAnsi="Times New Roman" w:cs="Times New Roman"/>
          <w:bCs/>
          <w:color w:val="000000"/>
          <w:sz w:val="24"/>
          <w:szCs w:val="24"/>
        </w:rPr>
      </w:pPr>
    </w:p>
    <w:p w:rsidR="00DC1DCA" w:rsidRDefault="00DC1DCA" w:rsidP="00DC1DCA">
      <w:pPr>
        <w:spacing w:line="360" w:lineRule="auto"/>
        <w:rPr>
          <w:rFonts w:ascii="Times New Roman" w:hAnsi="Times New Roman" w:cs="Times New Roman"/>
          <w:bCs/>
          <w:color w:val="000000"/>
          <w:sz w:val="24"/>
          <w:szCs w:val="24"/>
        </w:rPr>
      </w:pPr>
    </w:p>
    <w:p w:rsidR="001E08ED" w:rsidRDefault="001E08ED" w:rsidP="00DC1DCA">
      <w:pPr>
        <w:spacing w:line="360" w:lineRule="auto"/>
        <w:rPr>
          <w:rFonts w:ascii="Times New Roman" w:hAnsi="Times New Roman" w:cs="Times New Roman"/>
          <w:bCs/>
          <w:color w:val="000000"/>
          <w:sz w:val="24"/>
          <w:szCs w:val="24"/>
        </w:rPr>
      </w:pPr>
    </w:p>
    <w:p w:rsidR="00DC1DCA" w:rsidRPr="000453B6" w:rsidRDefault="00433A1B" w:rsidP="00DC1DCA">
      <w:pPr>
        <w:spacing w:line="360" w:lineRule="auto"/>
        <w:ind w:left="5103" w:hanging="567"/>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rPr>
        <w:t>Dr. Moh.Khusaini, S.E, M.Si, MA</w:t>
      </w:r>
    </w:p>
    <w:p w:rsidR="00DC1DCA" w:rsidRDefault="00DC1DCA" w:rsidP="006B679E">
      <w:pPr>
        <w:spacing w:line="360" w:lineRule="auto"/>
        <w:ind w:left="5103"/>
        <w:jc w:val="center"/>
        <w:rPr>
          <w:rFonts w:ascii="Arial" w:eastAsia="Calibri" w:hAnsi="Arial" w:cs="Arial"/>
          <w:shd w:val="clear" w:color="auto" w:fill="FFFFFF"/>
        </w:rPr>
      </w:pPr>
      <w:r>
        <w:rPr>
          <w:rFonts w:ascii="Times New Roman" w:hAnsi="Times New Roman" w:cs="Times New Roman"/>
          <w:bCs/>
          <w:color w:val="000000"/>
          <w:sz w:val="24"/>
          <w:szCs w:val="24"/>
        </w:rPr>
        <w:t xml:space="preserve">NIP. </w:t>
      </w:r>
      <w:r w:rsidR="00433A1B">
        <w:rPr>
          <w:rFonts w:ascii="Arial" w:eastAsia="Calibri" w:hAnsi="Arial" w:cs="Arial"/>
          <w:shd w:val="clear" w:color="auto" w:fill="FFFFFF"/>
        </w:rPr>
        <w:t>19710111 199802 1 001</w:t>
      </w:r>
    </w:p>
    <w:p w:rsidR="00433A1B" w:rsidRPr="006B679E" w:rsidRDefault="00433A1B" w:rsidP="006B679E">
      <w:pPr>
        <w:spacing w:line="360" w:lineRule="auto"/>
        <w:ind w:left="5103"/>
        <w:jc w:val="center"/>
        <w:rPr>
          <w:rFonts w:ascii="Arial" w:hAnsi="Arial" w:cs="Arial"/>
          <w:shd w:val="clear" w:color="auto" w:fill="FFFFFF"/>
          <w:lang w:val="id-ID"/>
        </w:rPr>
      </w:pPr>
    </w:p>
    <w:p w:rsidR="00EC0799" w:rsidRPr="00EC0799" w:rsidRDefault="00EC0799" w:rsidP="00C355C2">
      <w:pPr>
        <w:spacing w:line="240" w:lineRule="auto"/>
        <w:ind w:firstLine="720"/>
        <w:jc w:val="center"/>
        <w:rPr>
          <w:rFonts w:asciiTheme="majorBidi" w:hAnsiTheme="majorBidi" w:cstheme="majorBidi"/>
          <w:b/>
          <w:bCs/>
          <w:sz w:val="24"/>
          <w:szCs w:val="24"/>
        </w:rPr>
      </w:pPr>
      <w:r w:rsidRPr="00EC0799">
        <w:rPr>
          <w:rFonts w:asciiTheme="majorBidi" w:hAnsiTheme="majorBidi" w:cstheme="majorBidi"/>
          <w:b/>
          <w:bCs/>
          <w:sz w:val="24"/>
          <w:szCs w:val="24"/>
        </w:rPr>
        <w:lastRenderedPageBreak/>
        <w:t>Analisis Pengaruh Inflasi, Nilai Tukar, Tingkat Suku Bunga, dan Pertumbuhan Ekonomi Terhadap</w:t>
      </w:r>
      <w:r w:rsidRPr="00EC0799">
        <w:rPr>
          <w:rFonts w:asciiTheme="majorBidi" w:hAnsiTheme="majorBidi" w:cstheme="majorBidi"/>
          <w:b/>
          <w:bCs/>
          <w:i/>
          <w:iCs/>
          <w:sz w:val="24"/>
          <w:szCs w:val="24"/>
        </w:rPr>
        <w:t xml:space="preserve"> Return</w:t>
      </w:r>
      <w:r w:rsidRPr="00EC0799">
        <w:rPr>
          <w:rFonts w:asciiTheme="majorBidi" w:hAnsiTheme="majorBidi" w:cstheme="majorBidi"/>
          <w:b/>
          <w:bCs/>
          <w:sz w:val="24"/>
          <w:szCs w:val="24"/>
        </w:rPr>
        <w:t xml:space="preserve"> Saham</w:t>
      </w:r>
    </w:p>
    <w:p w:rsidR="00684ECA" w:rsidRPr="00EC0799" w:rsidRDefault="00EC0799" w:rsidP="00EC0799">
      <w:pPr>
        <w:spacing w:line="240" w:lineRule="auto"/>
        <w:jc w:val="center"/>
        <w:rPr>
          <w:rFonts w:asciiTheme="majorBidi" w:hAnsiTheme="majorBidi" w:cstheme="majorBidi"/>
          <w:b/>
          <w:bCs/>
          <w:sz w:val="24"/>
          <w:szCs w:val="24"/>
        </w:rPr>
      </w:pPr>
      <w:r w:rsidRPr="00EC0799">
        <w:rPr>
          <w:rFonts w:asciiTheme="majorBidi" w:hAnsiTheme="majorBidi" w:cstheme="majorBidi"/>
          <w:b/>
          <w:bCs/>
          <w:sz w:val="24"/>
          <w:szCs w:val="24"/>
        </w:rPr>
        <w:t>(Studi Kasus Pada PT.Semen Indonesia, Tbk Periode 2005-2014)</w:t>
      </w:r>
    </w:p>
    <w:p w:rsidR="00EC0799" w:rsidRPr="00EC0799" w:rsidRDefault="00EC0799" w:rsidP="00EC0799">
      <w:pPr>
        <w:spacing w:line="240" w:lineRule="auto"/>
        <w:jc w:val="center"/>
        <w:rPr>
          <w:rFonts w:asciiTheme="majorBidi" w:hAnsiTheme="majorBidi" w:cstheme="majorBidi"/>
        </w:rPr>
      </w:pPr>
      <w:r w:rsidRPr="00EC0799">
        <w:rPr>
          <w:rFonts w:asciiTheme="majorBidi" w:hAnsiTheme="majorBidi" w:cstheme="majorBidi"/>
        </w:rPr>
        <w:t>Muhammad Firmansyah</w:t>
      </w:r>
    </w:p>
    <w:p w:rsidR="00EC0799" w:rsidRPr="00EC0799" w:rsidRDefault="00EC0799" w:rsidP="00EC0799">
      <w:pPr>
        <w:spacing w:line="240" w:lineRule="auto"/>
        <w:jc w:val="center"/>
        <w:rPr>
          <w:rFonts w:asciiTheme="majorBidi" w:hAnsiTheme="majorBidi" w:cstheme="majorBidi"/>
        </w:rPr>
      </w:pPr>
      <w:r w:rsidRPr="00EC0799">
        <w:rPr>
          <w:rFonts w:asciiTheme="majorBidi" w:hAnsiTheme="majorBidi" w:cstheme="majorBidi"/>
        </w:rPr>
        <w:t>Fakultas Ekonomi dan Bisnis Universitas Brawijaya</w:t>
      </w:r>
    </w:p>
    <w:p w:rsidR="00EC0799" w:rsidRDefault="000478DB" w:rsidP="00EC0799">
      <w:pPr>
        <w:spacing w:line="240" w:lineRule="auto"/>
        <w:jc w:val="center"/>
        <w:rPr>
          <w:rFonts w:asciiTheme="majorBidi" w:hAnsiTheme="majorBidi" w:cstheme="majorBidi"/>
        </w:rPr>
      </w:pPr>
      <w:hyperlink r:id="rId6" w:history="1">
        <w:r w:rsidR="00EC0799" w:rsidRPr="00E160CD">
          <w:rPr>
            <w:rStyle w:val="Hyperlink"/>
            <w:rFonts w:asciiTheme="majorBidi" w:hAnsiTheme="majorBidi" w:cstheme="majorBidi"/>
          </w:rPr>
          <w:t>Firmansyahmuh93@yahoo.com</w:t>
        </w:r>
      </w:hyperlink>
    </w:p>
    <w:p w:rsidR="00EC0799" w:rsidRDefault="00EC0799" w:rsidP="00EC0799">
      <w:pPr>
        <w:spacing w:line="240" w:lineRule="auto"/>
        <w:jc w:val="center"/>
        <w:rPr>
          <w:rFonts w:asciiTheme="majorBidi" w:hAnsiTheme="majorBidi" w:cstheme="majorBidi"/>
        </w:rPr>
      </w:pPr>
    </w:p>
    <w:p w:rsidR="00EC0799" w:rsidRPr="00854B8E" w:rsidRDefault="00EC0799" w:rsidP="00EC0799">
      <w:pPr>
        <w:spacing w:line="240" w:lineRule="auto"/>
        <w:jc w:val="center"/>
        <w:rPr>
          <w:rFonts w:asciiTheme="majorBidi" w:hAnsiTheme="majorBidi" w:cstheme="majorBidi"/>
          <w:b/>
          <w:bCs/>
          <w:sz w:val="20"/>
          <w:szCs w:val="20"/>
        </w:rPr>
      </w:pPr>
      <w:r w:rsidRPr="00854B8E">
        <w:rPr>
          <w:rFonts w:asciiTheme="majorBidi" w:hAnsiTheme="majorBidi" w:cstheme="majorBidi"/>
          <w:b/>
          <w:bCs/>
          <w:sz w:val="20"/>
          <w:szCs w:val="20"/>
        </w:rPr>
        <w:t>ABSTRAK</w:t>
      </w:r>
    </w:p>
    <w:p w:rsidR="00EC0799" w:rsidRDefault="001E08ED" w:rsidP="00D37D20">
      <w:pPr>
        <w:spacing w:line="240" w:lineRule="auto"/>
        <w:ind w:left="720" w:firstLine="720"/>
        <w:jc w:val="both"/>
        <w:rPr>
          <w:rFonts w:asciiTheme="majorBidi" w:hAnsiTheme="majorBidi" w:cstheme="majorBidi"/>
          <w:sz w:val="20"/>
          <w:szCs w:val="20"/>
        </w:rPr>
      </w:pPr>
      <w:r>
        <w:rPr>
          <w:rFonts w:asciiTheme="majorBidi" w:hAnsiTheme="majorBidi" w:cstheme="majorBidi"/>
          <w:sz w:val="20"/>
          <w:szCs w:val="20"/>
        </w:rPr>
        <w:t xml:space="preserve">Masalah yang sering kali muncul pada perusahaan ialah bagaimana </w:t>
      </w:r>
      <w:proofErr w:type="gramStart"/>
      <w:r>
        <w:rPr>
          <w:rFonts w:asciiTheme="majorBidi" w:hAnsiTheme="majorBidi" w:cstheme="majorBidi"/>
          <w:sz w:val="20"/>
          <w:szCs w:val="20"/>
        </w:rPr>
        <w:t>cara</w:t>
      </w:r>
      <w:proofErr w:type="gramEnd"/>
      <w:r>
        <w:rPr>
          <w:rFonts w:asciiTheme="majorBidi" w:hAnsiTheme="majorBidi" w:cstheme="majorBidi"/>
          <w:sz w:val="20"/>
          <w:szCs w:val="20"/>
        </w:rPr>
        <w:t xml:space="preserve"> perusahaan mendapatkan dana untuk membiayai berbagai kegiatannya, dimana dana tersebut digunakan oleh perusahaan sebagai biaya dalam investasi perusahaan. Dengan mempertimbangkan keadaan ekonomi makro seperti inflasi, nilai tukar, tingkat suku bunga, dan pertumbuhan ekonomi investor cenderung melakukan spekulasi dalam menanamkan modalnya. Investor menginginkan keuntun</w:t>
      </w:r>
      <w:r w:rsidR="00854B8E">
        <w:rPr>
          <w:rFonts w:asciiTheme="majorBidi" w:hAnsiTheme="majorBidi" w:cstheme="majorBidi"/>
          <w:sz w:val="20"/>
          <w:szCs w:val="20"/>
        </w:rPr>
        <w:t xml:space="preserve">gan </w:t>
      </w:r>
      <w:r>
        <w:rPr>
          <w:rFonts w:asciiTheme="majorBidi" w:hAnsiTheme="majorBidi" w:cstheme="majorBidi"/>
          <w:sz w:val="20"/>
          <w:szCs w:val="20"/>
        </w:rPr>
        <w:t>berinvestasi</w:t>
      </w:r>
      <w:r w:rsidR="00854B8E">
        <w:rPr>
          <w:rFonts w:asciiTheme="majorBidi" w:hAnsiTheme="majorBidi" w:cstheme="majorBidi"/>
          <w:sz w:val="20"/>
          <w:szCs w:val="20"/>
        </w:rPr>
        <w:t xml:space="preserve"> dalam bentuk saham yang berupa </w:t>
      </w:r>
      <w:r w:rsidR="00854B8E" w:rsidRPr="00854B8E">
        <w:rPr>
          <w:rFonts w:asciiTheme="majorBidi" w:hAnsiTheme="majorBidi" w:cstheme="majorBidi"/>
          <w:i/>
          <w:iCs/>
          <w:sz w:val="20"/>
          <w:szCs w:val="20"/>
        </w:rPr>
        <w:t>capital gain</w:t>
      </w:r>
      <w:r w:rsidR="00854B8E">
        <w:rPr>
          <w:rFonts w:asciiTheme="majorBidi" w:hAnsiTheme="majorBidi" w:cstheme="majorBidi"/>
          <w:sz w:val="20"/>
          <w:szCs w:val="20"/>
        </w:rPr>
        <w:t xml:space="preserve"> dan deviden. Dengan adanya perubahan ekonomi makro maka </w:t>
      </w:r>
      <w:proofErr w:type="gramStart"/>
      <w:r w:rsidR="00854B8E">
        <w:rPr>
          <w:rFonts w:asciiTheme="majorBidi" w:hAnsiTheme="majorBidi" w:cstheme="majorBidi"/>
          <w:sz w:val="20"/>
          <w:szCs w:val="20"/>
        </w:rPr>
        <w:t>akan</w:t>
      </w:r>
      <w:proofErr w:type="gramEnd"/>
      <w:r w:rsidR="00854B8E">
        <w:rPr>
          <w:rFonts w:asciiTheme="majorBidi" w:hAnsiTheme="majorBidi" w:cstheme="majorBidi"/>
          <w:sz w:val="20"/>
          <w:szCs w:val="20"/>
        </w:rPr>
        <w:t xml:space="preserve"> mempengaruhi kinerja pasar modal karena kondisi yang tidak stabil pada ekonomi makro akan mengganggu profitabilitas suatu perusahaan. Dengan menggunakan metode analisis </w:t>
      </w:r>
      <w:r w:rsidR="00854B8E" w:rsidRPr="00854B8E">
        <w:rPr>
          <w:rFonts w:asciiTheme="majorBidi" w:hAnsiTheme="majorBidi" w:cstheme="majorBidi"/>
          <w:i/>
          <w:iCs/>
          <w:sz w:val="20"/>
          <w:szCs w:val="20"/>
        </w:rPr>
        <w:t>Error Correction Model</w:t>
      </w:r>
      <w:r w:rsidR="00854B8E">
        <w:rPr>
          <w:rFonts w:asciiTheme="majorBidi" w:hAnsiTheme="majorBidi" w:cstheme="majorBidi"/>
          <w:sz w:val="20"/>
          <w:szCs w:val="20"/>
        </w:rPr>
        <w:t xml:space="preserve"> dapat melihat perubahan yang terjadi secara keseluruhan dalam jangka pendek dan jangka panjang variabel seperti inflasi, nilai tukar, tingkat suku bunga, dan pertumbuhan ekonomi dalam mempengaruhi </w:t>
      </w:r>
      <w:r w:rsidR="00854B8E" w:rsidRPr="00854B8E">
        <w:rPr>
          <w:rFonts w:asciiTheme="majorBidi" w:hAnsiTheme="majorBidi" w:cstheme="majorBidi"/>
          <w:i/>
          <w:iCs/>
          <w:sz w:val="20"/>
          <w:szCs w:val="20"/>
        </w:rPr>
        <w:t>return</w:t>
      </w:r>
      <w:r w:rsidR="00854B8E">
        <w:rPr>
          <w:rFonts w:asciiTheme="majorBidi" w:hAnsiTheme="majorBidi" w:cstheme="majorBidi"/>
          <w:sz w:val="20"/>
          <w:szCs w:val="20"/>
        </w:rPr>
        <w:t xml:space="preserve"> saham yang diinginkan oleh investor.</w:t>
      </w:r>
    </w:p>
    <w:p w:rsidR="00EC0799" w:rsidRPr="006B679E" w:rsidRDefault="006B679E" w:rsidP="00D37D20">
      <w:pPr>
        <w:spacing w:line="240" w:lineRule="auto"/>
        <w:ind w:firstLine="720"/>
        <w:rPr>
          <w:rFonts w:asciiTheme="majorBidi" w:hAnsiTheme="majorBidi" w:cstheme="majorBidi"/>
          <w:i/>
          <w:iCs/>
          <w:sz w:val="20"/>
          <w:szCs w:val="20"/>
        </w:rPr>
      </w:pPr>
      <w:r w:rsidRPr="006B679E">
        <w:rPr>
          <w:rFonts w:asciiTheme="majorBidi" w:hAnsiTheme="majorBidi" w:cstheme="majorBidi"/>
          <w:i/>
          <w:iCs/>
          <w:sz w:val="20"/>
          <w:szCs w:val="20"/>
        </w:rPr>
        <w:t xml:space="preserve">Kata </w:t>
      </w:r>
      <w:proofErr w:type="gramStart"/>
      <w:r w:rsidRPr="006B679E">
        <w:rPr>
          <w:rFonts w:asciiTheme="majorBidi" w:hAnsiTheme="majorBidi" w:cstheme="majorBidi"/>
          <w:i/>
          <w:iCs/>
          <w:sz w:val="20"/>
          <w:szCs w:val="20"/>
        </w:rPr>
        <w:t>kunci :</w:t>
      </w:r>
      <w:proofErr w:type="gramEnd"/>
      <w:r w:rsidRPr="006B679E">
        <w:rPr>
          <w:rFonts w:asciiTheme="majorBidi" w:hAnsiTheme="majorBidi" w:cstheme="majorBidi"/>
          <w:i/>
          <w:iCs/>
          <w:sz w:val="20"/>
          <w:szCs w:val="20"/>
        </w:rPr>
        <w:t xml:space="preserve"> inflasi, nilai tukar, tingkat suku bunga, pertumbuhan ekonomi, return saham</w:t>
      </w:r>
    </w:p>
    <w:p w:rsidR="00EC0799" w:rsidRDefault="00EC0799" w:rsidP="00EC0799">
      <w:pPr>
        <w:pStyle w:val="ListParagraph"/>
        <w:numPr>
          <w:ilvl w:val="0"/>
          <w:numId w:val="1"/>
        </w:numPr>
        <w:spacing w:line="240" w:lineRule="auto"/>
        <w:jc w:val="center"/>
        <w:rPr>
          <w:rFonts w:asciiTheme="majorBidi" w:hAnsiTheme="majorBidi" w:cstheme="majorBidi"/>
          <w:b/>
          <w:bCs/>
          <w:sz w:val="20"/>
          <w:szCs w:val="20"/>
        </w:rPr>
      </w:pPr>
      <w:r w:rsidRPr="00EC0799">
        <w:rPr>
          <w:rFonts w:asciiTheme="majorBidi" w:hAnsiTheme="majorBidi" w:cstheme="majorBidi"/>
          <w:b/>
          <w:bCs/>
          <w:sz w:val="20"/>
          <w:szCs w:val="20"/>
        </w:rPr>
        <w:t>PENDAHULUAN</w:t>
      </w:r>
    </w:p>
    <w:p w:rsidR="00EC0799" w:rsidRPr="00EC0799" w:rsidRDefault="00EC0799" w:rsidP="00970DA7">
      <w:pPr>
        <w:pStyle w:val="ListParagraph"/>
        <w:spacing w:line="240" w:lineRule="auto"/>
        <w:ind w:firstLine="720"/>
        <w:jc w:val="both"/>
        <w:rPr>
          <w:rFonts w:asciiTheme="majorBidi" w:hAnsiTheme="majorBidi" w:cstheme="majorBidi"/>
          <w:b/>
          <w:bCs/>
          <w:sz w:val="20"/>
          <w:szCs w:val="20"/>
        </w:rPr>
      </w:pPr>
      <w:r w:rsidRPr="00EC0799">
        <w:rPr>
          <w:rFonts w:asciiTheme="majorBidi" w:hAnsiTheme="majorBidi" w:cstheme="majorBidi"/>
          <w:sz w:val="20"/>
          <w:szCs w:val="20"/>
        </w:rPr>
        <w:t xml:space="preserve">Peran aktif lembaga pasar modal sangat diperlukan untuk membangun perekonomian suatu negara. Secara umum pasar modal merupakan wahana kegiatan suatu perusahaan untuk mencari </w:t>
      </w:r>
      <w:proofErr w:type="gramStart"/>
      <w:r w:rsidRPr="00EC0799">
        <w:rPr>
          <w:rFonts w:asciiTheme="majorBidi" w:hAnsiTheme="majorBidi" w:cstheme="majorBidi"/>
          <w:sz w:val="20"/>
          <w:szCs w:val="20"/>
        </w:rPr>
        <w:t>dana</w:t>
      </w:r>
      <w:proofErr w:type="gramEnd"/>
      <w:r w:rsidRPr="00EC0799">
        <w:rPr>
          <w:rFonts w:asciiTheme="majorBidi" w:hAnsiTheme="majorBidi" w:cstheme="majorBidi"/>
          <w:sz w:val="20"/>
          <w:szCs w:val="20"/>
        </w:rPr>
        <w:t xml:space="preserve"> yang dapat mendanai kegiatan usahanya. Dalam hal ini fungsi utama pasar modal adalah sebagai sarana untuk pembentukan modal bagi pembiayaan perusahaan atau emiten yang membutuhkan </w:t>
      </w:r>
      <w:proofErr w:type="gramStart"/>
      <w:r w:rsidRPr="00EC0799">
        <w:rPr>
          <w:rFonts w:asciiTheme="majorBidi" w:hAnsiTheme="majorBidi" w:cstheme="majorBidi"/>
          <w:sz w:val="20"/>
          <w:szCs w:val="20"/>
        </w:rPr>
        <w:t>dana</w:t>
      </w:r>
      <w:proofErr w:type="gramEnd"/>
      <w:r w:rsidRPr="00EC0799">
        <w:rPr>
          <w:rFonts w:asciiTheme="majorBidi" w:hAnsiTheme="majorBidi" w:cstheme="majorBidi"/>
          <w:sz w:val="20"/>
          <w:szCs w:val="20"/>
        </w:rPr>
        <w:t>.</w:t>
      </w:r>
    </w:p>
    <w:p w:rsidR="00C355C2" w:rsidRPr="00C355C2" w:rsidRDefault="00C355C2" w:rsidP="00C355C2">
      <w:pPr>
        <w:spacing w:line="240" w:lineRule="auto"/>
        <w:ind w:left="720" w:firstLine="720"/>
        <w:jc w:val="both"/>
        <w:rPr>
          <w:rFonts w:asciiTheme="majorBidi" w:hAnsiTheme="majorBidi" w:cstheme="majorBidi"/>
          <w:sz w:val="20"/>
          <w:szCs w:val="20"/>
        </w:rPr>
      </w:pPr>
      <w:r w:rsidRPr="00C355C2">
        <w:rPr>
          <w:rFonts w:asciiTheme="majorBidi" w:hAnsiTheme="majorBidi" w:cstheme="majorBidi"/>
          <w:sz w:val="20"/>
          <w:szCs w:val="20"/>
        </w:rPr>
        <w:t xml:space="preserve">Masalah yang seringkali muncul pada perusahaan umumnya ialah bagaimana </w:t>
      </w:r>
      <w:proofErr w:type="gramStart"/>
      <w:r w:rsidRPr="00C355C2">
        <w:rPr>
          <w:rFonts w:asciiTheme="majorBidi" w:hAnsiTheme="majorBidi" w:cstheme="majorBidi"/>
          <w:sz w:val="20"/>
          <w:szCs w:val="20"/>
        </w:rPr>
        <w:t>cara</w:t>
      </w:r>
      <w:proofErr w:type="gramEnd"/>
      <w:r>
        <w:rPr>
          <w:rFonts w:asciiTheme="majorBidi" w:hAnsiTheme="majorBidi" w:cstheme="majorBidi"/>
          <w:sz w:val="20"/>
          <w:szCs w:val="20"/>
        </w:rPr>
        <w:t xml:space="preserve"> – cara perusahaan </w:t>
      </w:r>
      <w:r w:rsidRPr="00C355C2">
        <w:rPr>
          <w:rFonts w:asciiTheme="majorBidi" w:hAnsiTheme="majorBidi" w:cstheme="majorBidi"/>
          <w:sz w:val="20"/>
          <w:szCs w:val="20"/>
        </w:rPr>
        <w:t>mendapatkan dana untuk membiayai berbagai kegiatannya, dimana dana tersebut akan digunakan sebagai biaya dalam investasi perusahaan. Investasi sendiri dapat dilakukan pada aktiva riil atau real assets ataupun pada aktiva finansial atau sekuritas (membeli serifikat deposito, commercial paper, saham, obligasi, atau sertifikat reksadana).</w:t>
      </w:r>
    </w:p>
    <w:p w:rsidR="00EC0799" w:rsidRPr="00C355C2" w:rsidRDefault="00970DA7" w:rsidP="00C355C2">
      <w:pPr>
        <w:spacing w:line="240" w:lineRule="auto"/>
        <w:ind w:left="720" w:firstLine="720"/>
        <w:jc w:val="both"/>
        <w:rPr>
          <w:rFonts w:asciiTheme="majorBidi" w:hAnsiTheme="majorBidi" w:cstheme="majorBidi"/>
          <w:b/>
          <w:bCs/>
          <w:sz w:val="20"/>
          <w:szCs w:val="20"/>
        </w:rPr>
      </w:pPr>
      <w:r w:rsidRPr="00C355C2">
        <w:rPr>
          <w:rFonts w:asciiTheme="majorBidi" w:hAnsiTheme="majorBidi" w:cstheme="majorBidi"/>
          <w:sz w:val="20"/>
          <w:szCs w:val="20"/>
        </w:rPr>
        <w:t xml:space="preserve">PT.Semen Indonesia (Perseroan) Tbk adalah produsen semen yang terbesar di Indonesia. </w:t>
      </w:r>
      <w:r w:rsidRPr="00C355C2">
        <w:rPr>
          <w:rFonts w:asciiTheme="majorBidi" w:eastAsia="Times New Roman" w:hAnsiTheme="majorBidi" w:cstheme="majorBidi"/>
          <w:sz w:val="20"/>
          <w:szCs w:val="20"/>
        </w:rPr>
        <w:t xml:space="preserve">Pada tanggal 8 Juli 1991 Semen Gresik yang sekarang menjadi PT.Semen Indonesia (Perseroan) Tbk tercatat di Bursa Efek Jakarta dan Bursa Efek Surabaya sehingga menjadikannya BUMN pertama yang </w:t>
      </w:r>
      <w:r w:rsidRPr="00C355C2">
        <w:rPr>
          <w:rFonts w:asciiTheme="majorBidi" w:eastAsia="Times New Roman" w:hAnsiTheme="majorBidi" w:cstheme="majorBidi"/>
          <w:i/>
          <w:iCs/>
          <w:sz w:val="20"/>
          <w:szCs w:val="20"/>
        </w:rPr>
        <w:t>go public</w:t>
      </w:r>
      <w:r w:rsidRPr="00C355C2">
        <w:rPr>
          <w:rFonts w:asciiTheme="majorBidi" w:eastAsia="Times New Roman" w:hAnsiTheme="majorBidi" w:cstheme="majorBidi"/>
          <w:sz w:val="20"/>
          <w:szCs w:val="20"/>
        </w:rPr>
        <w:t xml:space="preserve"> dengan menjual 40 juta lembar saham kepada masyarakat.</w:t>
      </w:r>
    </w:p>
    <w:p w:rsidR="00C355C2" w:rsidRDefault="00970DA7" w:rsidP="00C355C2">
      <w:pPr>
        <w:pStyle w:val="ListParagraph"/>
        <w:spacing w:line="240" w:lineRule="auto"/>
        <w:jc w:val="both"/>
        <w:rPr>
          <w:rFonts w:asciiTheme="majorBidi" w:eastAsia="Times New Roman" w:hAnsiTheme="majorBidi" w:cstheme="majorBidi"/>
          <w:sz w:val="20"/>
          <w:szCs w:val="20"/>
        </w:rPr>
      </w:pPr>
      <w:r>
        <w:rPr>
          <w:rFonts w:asciiTheme="majorBidi" w:hAnsiTheme="majorBidi" w:cstheme="majorBidi"/>
          <w:b/>
          <w:bCs/>
          <w:sz w:val="20"/>
          <w:szCs w:val="20"/>
        </w:rPr>
        <w:tab/>
      </w:r>
      <w:r w:rsidRPr="00970DA7">
        <w:rPr>
          <w:rFonts w:asciiTheme="majorBidi" w:eastAsia="Times New Roman" w:hAnsiTheme="majorBidi" w:cstheme="majorBidi"/>
          <w:sz w:val="20"/>
          <w:szCs w:val="20"/>
        </w:rPr>
        <w:t xml:space="preserve">Pada tanggal 18 Desember 2012 PT.Semen Indonesia melakukan penandatanganan transaksi final akuisisi 70 persen saham Thang Long Cement, perusahaan semen terkemuka Vietnam yang memiliki kapasitas produksi 2,3 juta ton/tahun. Akuisisi </w:t>
      </w:r>
      <w:r w:rsidRPr="00970DA7">
        <w:rPr>
          <w:rFonts w:asciiTheme="majorBidi" w:eastAsia="Times New Roman" w:hAnsiTheme="majorBidi" w:cstheme="majorBidi"/>
          <w:i/>
          <w:iCs/>
          <w:sz w:val="20"/>
          <w:szCs w:val="20"/>
        </w:rPr>
        <w:t>Thang Long Cement Company</w:t>
      </w:r>
      <w:r w:rsidRPr="00970DA7">
        <w:rPr>
          <w:rFonts w:asciiTheme="majorBidi" w:eastAsia="Times New Roman" w:hAnsiTheme="majorBidi" w:cstheme="majorBidi"/>
          <w:sz w:val="20"/>
          <w:szCs w:val="20"/>
        </w:rPr>
        <w:t xml:space="preserve"> ini sekaligus menjadikan PT.Semen Indonesia sebagai BUMN pertama yang berstatus </w:t>
      </w:r>
      <w:proofErr w:type="gramStart"/>
      <w:r w:rsidRPr="00970DA7">
        <w:rPr>
          <w:rFonts w:asciiTheme="majorBidi" w:eastAsia="Times New Roman" w:hAnsiTheme="majorBidi" w:cstheme="majorBidi"/>
          <w:i/>
          <w:sz w:val="20"/>
          <w:szCs w:val="20"/>
        </w:rPr>
        <w:t>multinational corporation</w:t>
      </w:r>
      <w:proofErr w:type="gramEnd"/>
      <w:r w:rsidRPr="00970DA7">
        <w:rPr>
          <w:rFonts w:asciiTheme="majorBidi" w:eastAsia="Times New Roman" w:hAnsiTheme="majorBidi" w:cstheme="majorBidi"/>
          <w:sz w:val="20"/>
          <w:szCs w:val="20"/>
        </w:rPr>
        <w:t>.</w:t>
      </w:r>
    </w:p>
    <w:p w:rsidR="00970DA7" w:rsidRPr="00970DA7" w:rsidRDefault="00970DA7" w:rsidP="003526C8">
      <w:pPr>
        <w:pStyle w:val="ListParagraph"/>
        <w:spacing w:line="240" w:lineRule="auto"/>
        <w:ind w:left="0"/>
        <w:rPr>
          <w:rFonts w:asciiTheme="majorBidi" w:eastAsia="Times New Roman" w:hAnsiTheme="majorBidi" w:cstheme="majorBidi"/>
          <w:sz w:val="20"/>
          <w:szCs w:val="20"/>
        </w:rPr>
      </w:pPr>
      <w:bookmarkStart w:id="0" w:name="_GoBack"/>
      <w:bookmarkEnd w:id="0"/>
      <w:r w:rsidRPr="00970DA7">
        <w:rPr>
          <w:rFonts w:asciiTheme="majorBidi" w:eastAsia="Times New Roman" w:hAnsiTheme="majorBidi" w:cstheme="majorBidi"/>
          <w:sz w:val="20"/>
          <w:szCs w:val="20"/>
        </w:rPr>
        <w:lastRenderedPageBreak/>
        <w:t xml:space="preserve">Grafik </w:t>
      </w:r>
      <w:proofErr w:type="gramStart"/>
      <w:r w:rsidRPr="00970DA7">
        <w:rPr>
          <w:rFonts w:asciiTheme="majorBidi" w:eastAsia="Times New Roman" w:hAnsiTheme="majorBidi" w:cstheme="majorBidi"/>
          <w:sz w:val="20"/>
          <w:szCs w:val="20"/>
        </w:rPr>
        <w:t>1</w:t>
      </w:r>
      <w:r w:rsidR="002838E4">
        <w:rPr>
          <w:rFonts w:ascii="Arial" w:eastAsia="Times New Roman" w:hAnsi="Arial"/>
        </w:rPr>
        <w:t xml:space="preserve"> :</w:t>
      </w:r>
      <w:r w:rsidR="002838E4">
        <w:rPr>
          <w:rFonts w:asciiTheme="majorBidi" w:eastAsia="Times New Roman" w:hAnsiTheme="majorBidi" w:cstheme="majorBidi"/>
          <w:b/>
          <w:sz w:val="20"/>
          <w:szCs w:val="20"/>
        </w:rPr>
        <w:t>Harga</w:t>
      </w:r>
      <w:proofErr w:type="gramEnd"/>
      <w:r w:rsidR="002838E4">
        <w:rPr>
          <w:rFonts w:asciiTheme="majorBidi" w:eastAsia="Times New Roman" w:hAnsiTheme="majorBidi" w:cstheme="majorBidi"/>
          <w:b/>
          <w:sz w:val="20"/>
          <w:szCs w:val="20"/>
        </w:rPr>
        <w:t xml:space="preserve"> </w:t>
      </w:r>
      <w:r w:rsidRPr="00970DA7">
        <w:rPr>
          <w:rFonts w:asciiTheme="majorBidi" w:eastAsia="Times New Roman" w:hAnsiTheme="majorBidi" w:cstheme="majorBidi"/>
          <w:b/>
          <w:sz w:val="20"/>
          <w:szCs w:val="20"/>
        </w:rPr>
        <w:t>Saham PT.Semen Indonesia dan Pergerakan IHSG Tahun 2011</w:t>
      </w:r>
      <w:r>
        <w:rPr>
          <w:noProof/>
        </w:rPr>
        <w:drawing>
          <wp:inline distT="0" distB="0" distL="0" distR="0">
            <wp:extent cx="4981651" cy="2332990"/>
            <wp:effectExtent l="0" t="0" r="952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0DA7" w:rsidRPr="00970DA7" w:rsidRDefault="00970DA7" w:rsidP="00C355C2">
      <w:pPr>
        <w:spacing w:before="100" w:beforeAutospacing="1" w:after="100" w:afterAutospacing="1" w:line="240" w:lineRule="auto"/>
        <w:ind w:firstLine="720"/>
        <w:rPr>
          <w:rFonts w:asciiTheme="majorBidi" w:eastAsia="Times New Roman" w:hAnsiTheme="majorBidi" w:cstheme="majorBidi"/>
          <w:sz w:val="20"/>
          <w:szCs w:val="20"/>
        </w:rPr>
      </w:pPr>
      <w:proofErr w:type="gramStart"/>
      <w:r w:rsidRPr="00970DA7">
        <w:rPr>
          <w:rFonts w:asciiTheme="majorBidi" w:hAnsiTheme="majorBidi" w:cstheme="majorBidi"/>
          <w:sz w:val="20"/>
          <w:szCs w:val="20"/>
        </w:rPr>
        <w:t>Sumber :</w:t>
      </w:r>
      <w:proofErr w:type="gramEnd"/>
      <w:r w:rsidRPr="00970DA7">
        <w:rPr>
          <w:rFonts w:asciiTheme="majorBidi" w:hAnsiTheme="majorBidi" w:cstheme="majorBidi"/>
          <w:sz w:val="20"/>
          <w:szCs w:val="20"/>
        </w:rPr>
        <w:t xml:space="preserve"> PT. Semen Indonesia, diolah (2014)</w:t>
      </w:r>
    </w:p>
    <w:p w:rsidR="00970DA7" w:rsidRPr="00970DA7" w:rsidRDefault="00970DA7" w:rsidP="00485029">
      <w:pPr>
        <w:widowControl w:val="0"/>
        <w:autoSpaceDE w:val="0"/>
        <w:autoSpaceDN w:val="0"/>
        <w:adjustRightInd w:val="0"/>
        <w:spacing w:after="240" w:line="240" w:lineRule="auto"/>
        <w:ind w:firstLine="720"/>
        <w:jc w:val="both"/>
        <w:rPr>
          <w:rFonts w:asciiTheme="majorBidi" w:hAnsiTheme="majorBidi" w:cstheme="majorBidi"/>
          <w:sz w:val="20"/>
          <w:szCs w:val="20"/>
        </w:rPr>
      </w:pPr>
      <w:r w:rsidRPr="00970DA7">
        <w:rPr>
          <w:rFonts w:asciiTheme="majorBidi" w:hAnsiTheme="majorBidi" w:cstheme="majorBidi"/>
          <w:sz w:val="20"/>
          <w:szCs w:val="20"/>
        </w:rPr>
        <w:t xml:space="preserve">Pada tahun 2011 harga saham PT.Semen Indonesia pada awal periode berfluktuasi yang kemungkinan dipengaruhi oleh beberapa faktor. Tetapi pada akhir periode tahun 2011 harga saham PT.Semen Indonesia ditutup naik dengan harga saham awal sebesar Rp.7.750 dan harga saham akhir Rp.11.450  yang telah terlihat jelas pada grafik </w:t>
      </w:r>
      <w:r w:rsidR="00485029">
        <w:rPr>
          <w:rFonts w:asciiTheme="majorBidi" w:hAnsiTheme="majorBidi" w:cstheme="majorBidi"/>
          <w:sz w:val="20"/>
          <w:szCs w:val="20"/>
        </w:rPr>
        <w:t>1</w:t>
      </w:r>
      <w:r w:rsidRPr="00970DA7">
        <w:rPr>
          <w:rFonts w:asciiTheme="majorBidi" w:hAnsiTheme="majorBidi" w:cstheme="majorBidi"/>
          <w:sz w:val="20"/>
          <w:szCs w:val="20"/>
        </w:rPr>
        <w:t xml:space="preserve"> di atas. Pada tahun 2011 ini kinerja perusahaan PT.Semen Indonesia berjalan dengan baik yang digambarkan dengan pergerakan harga saham yang </w:t>
      </w:r>
      <w:proofErr w:type="gramStart"/>
      <w:r w:rsidRPr="00970DA7">
        <w:rPr>
          <w:rFonts w:asciiTheme="majorBidi" w:hAnsiTheme="majorBidi" w:cstheme="majorBidi"/>
          <w:sz w:val="20"/>
          <w:szCs w:val="20"/>
        </w:rPr>
        <w:t>akan</w:t>
      </w:r>
      <w:proofErr w:type="gramEnd"/>
      <w:r w:rsidRPr="00970DA7">
        <w:rPr>
          <w:rFonts w:asciiTheme="majorBidi" w:hAnsiTheme="majorBidi" w:cstheme="majorBidi"/>
          <w:sz w:val="20"/>
          <w:szCs w:val="20"/>
        </w:rPr>
        <w:t xml:space="preserve"> memberikan kesempatan kepada calon investor untuk menanamkan modalnya.</w:t>
      </w:r>
    </w:p>
    <w:p w:rsidR="00970DA7" w:rsidRPr="00647F0D" w:rsidRDefault="00970DA7" w:rsidP="00970DA7">
      <w:pPr>
        <w:rPr>
          <w:rFonts w:ascii="Arial" w:eastAsia="Times New Roman" w:hAnsi="Arial"/>
        </w:rPr>
      </w:pPr>
      <w:r>
        <w:rPr>
          <w:rFonts w:asciiTheme="majorBidi" w:eastAsia="Times New Roman" w:hAnsiTheme="majorBidi" w:cstheme="majorBidi"/>
          <w:sz w:val="20"/>
          <w:szCs w:val="20"/>
        </w:rPr>
        <w:t xml:space="preserve">Grafik </w:t>
      </w:r>
      <w:proofErr w:type="gramStart"/>
      <w:r>
        <w:rPr>
          <w:rFonts w:asciiTheme="majorBidi" w:eastAsia="Times New Roman" w:hAnsiTheme="majorBidi" w:cstheme="majorBidi"/>
          <w:sz w:val="20"/>
          <w:szCs w:val="20"/>
        </w:rPr>
        <w:t>2</w:t>
      </w:r>
      <w:r>
        <w:rPr>
          <w:rFonts w:ascii="Arial" w:eastAsia="Times New Roman" w:hAnsi="Arial"/>
        </w:rPr>
        <w:t xml:space="preserve"> :</w:t>
      </w:r>
      <w:r w:rsidRPr="00970DA7">
        <w:rPr>
          <w:rFonts w:asciiTheme="majorBidi" w:eastAsia="Times New Roman" w:hAnsiTheme="majorBidi" w:cstheme="majorBidi"/>
          <w:b/>
          <w:sz w:val="20"/>
          <w:szCs w:val="20"/>
        </w:rPr>
        <w:t>Harga</w:t>
      </w:r>
      <w:proofErr w:type="gramEnd"/>
      <w:r w:rsidRPr="00970DA7">
        <w:rPr>
          <w:rFonts w:asciiTheme="majorBidi" w:eastAsia="Times New Roman" w:hAnsiTheme="majorBidi" w:cstheme="majorBidi"/>
          <w:b/>
          <w:sz w:val="20"/>
          <w:szCs w:val="20"/>
        </w:rPr>
        <w:t xml:space="preserve"> Saham PT.Semen Indonesia dan Pergerakan IHSG Tahun 2012</w:t>
      </w:r>
    </w:p>
    <w:p w:rsidR="00485029" w:rsidRDefault="00970DA7" w:rsidP="00485029">
      <w:pPr>
        <w:spacing w:line="480" w:lineRule="auto"/>
        <w:rPr>
          <w:rFonts w:ascii="Arial" w:hAnsi="Arial"/>
        </w:rPr>
      </w:pPr>
      <w:r>
        <w:rPr>
          <w:noProof/>
        </w:rPr>
        <w:drawing>
          <wp:inline distT="0" distB="0" distL="0" distR="0">
            <wp:extent cx="5001370" cy="2313305"/>
            <wp:effectExtent l="0" t="0" r="889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0DA7" w:rsidRPr="00485029" w:rsidRDefault="00970DA7" w:rsidP="00485029">
      <w:pPr>
        <w:spacing w:line="480" w:lineRule="auto"/>
        <w:rPr>
          <w:rFonts w:ascii="Arial" w:hAnsi="Arial"/>
        </w:rPr>
      </w:pPr>
      <w:proofErr w:type="gramStart"/>
      <w:r w:rsidRPr="00970DA7">
        <w:rPr>
          <w:rFonts w:asciiTheme="majorBidi" w:hAnsiTheme="majorBidi" w:cstheme="majorBidi"/>
          <w:sz w:val="20"/>
          <w:szCs w:val="20"/>
        </w:rPr>
        <w:t>Sumber :</w:t>
      </w:r>
      <w:proofErr w:type="gramEnd"/>
      <w:r w:rsidRPr="00970DA7">
        <w:rPr>
          <w:rFonts w:asciiTheme="majorBidi" w:hAnsiTheme="majorBidi" w:cstheme="majorBidi"/>
          <w:sz w:val="20"/>
          <w:szCs w:val="20"/>
        </w:rPr>
        <w:t xml:space="preserve"> PT. Semen Indonesia, diolah (2014)</w:t>
      </w:r>
    </w:p>
    <w:p w:rsidR="00970DA7" w:rsidRPr="00970DA7" w:rsidRDefault="00970DA7" w:rsidP="00485029">
      <w:pPr>
        <w:widowControl w:val="0"/>
        <w:autoSpaceDE w:val="0"/>
        <w:autoSpaceDN w:val="0"/>
        <w:adjustRightInd w:val="0"/>
        <w:spacing w:after="240" w:line="240" w:lineRule="auto"/>
        <w:ind w:firstLine="720"/>
        <w:jc w:val="both"/>
        <w:rPr>
          <w:rFonts w:asciiTheme="majorBidi" w:hAnsiTheme="majorBidi" w:cstheme="majorBidi"/>
          <w:sz w:val="20"/>
          <w:szCs w:val="20"/>
        </w:rPr>
      </w:pPr>
      <w:r w:rsidRPr="00970DA7">
        <w:rPr>
          <w:rFonts w:asciiTheme="majorBidi" w:hAnsiTheme="majorBidi" w:cstheme="majorBidi"/>
          <w:sz w:val="20"/>
          <w:szCs w:val="20"/>
        </w:rPr>
        <w:t>Di tahun 2012 ini harga saham PT.Semen Indonesia juga mengalami kenaikan dengan di akhir periode harga ditutup naik sebesar 38</w:t>
      </w:r>
      <w:proofErr w:type="gramStart"/>
      <w:r w:rsidRPr="00970DA7">
        <w:rPr>
          <w:rFonts w:asciiTheme="majorBidi" w:hAnsiTheme="majorBidi" w:cstheme="majorBidi"/>
          <w:sz w:val="20"/>
          <w:szCs w:val="20"/>
        </w:rPr>
        <w:t>,4</w:t>
      </w:r>
      <w:proofErr w:type="gramEnd"/>
      <w:r w:rsidRPr="00970DA7">
        <w:rPr>
          <w:rFonts w:asciiTheme="majorBidi" w:hAnsiTheme="majorBidi" w:cstheme="majorBidi"/>
          <w:sz w:val="20"/>
          <w:szCs w:val="20"/>
        </w:rPr>
        <w:t xml:space="preserve">% dimana investor memperoleh keuntungan dari investasi ini. Dimana terlihat jelas grafik </w:t>
      </w:r>
      <w:r w:rsidR="00485029">
        <w:rPr>
          <w:rFonts w:asciiTheme="majorBidi" w:hAnsiTheme="majorBidi" w:cstheme="majorBidi"/>
          <w:sz w:val="20"/>
          <w:szCs w:val="20"/>
        </w:rPr>
        <w:t>2</w:t>
      </w:r>
      <w:r w:rsidRPr="00970DA7">
        <w:rPr>
          <w:rFonts w:asciiTheme="majorBidi" w:hAnsiTheme="majorBidi" w:cstheme="majorBidi"/>
          <w:sz w:val="20"/>
          <w:szCs w:val="20"/>
        </w:rPr>
        <w:t xml:space="preserve"> di atas harga saham PT.Semen Indonesia awal periode 2012 seharga Rp.11.450 dan di akhir periode ditutup seharga Rp.15.850. Pada tahun 2012 ini kinerja perusahaan </w:t>
      </w:r>
      <w:r w:rsidRPr="00970DA7">
        <w:rPr>
          <w:rFonts w:asciiTheme="majorBidi" w:hAnsiTheme="majorBidi" w:cstheme="majorBidi"/>
          <w:sz w:val="20"/>
          <w:szCs w:val="20"/>
        </w:rPr>
        <w:lastRenderedPageBreak/>
        <w:t>PT.Semen Indonesia ini berjalan baik yang akan memberi gambaran informasi bagi investor bahwa periode di tahun 2012 harga saham PT.Semen Indonesia naik setiap bulannya yang akan memberikan stimulus keuntungan memiliki saham dari PT.Semen Indonesia.</w:t>
      </w:r>
    </w:p>
    <w:p w:rsidR="00485029" w:rsidRPr="00FC4D48" w:rsidRDefault="00485029" w:rsidP="00485029">
      <w:pPr>
        <w:rPr>
          <w:rFonts w:ascii="Arial" w:eastAsia="Times New Roman" w:hAnsi="Arial"/>
          <w:b/>
        </w:rPr>
      </w:pPr>
      <w:r w:rsidRPr="00485029">
        <w:rPr>
          <w:rFonts w:asciiTheme="majorBidi" w:eastAsia="Times New Roman" w:hAnsiTheme="majorBidi" w:cstheme="majorBidi"/>
          <w:sz w:val="20"/>
          <w:szCs w:val="20"/>
        </w:rPr>
        <w:t xml:space="preserve">Grafik </w:t>
      </w:r>
      <w:proofErr w:type="gramStart"/>
      <w:r w:rsidRPr="00485029">
        <w:rPr>
          <w:rFonts w:asciiTheme="majorBidi" w:eastAsia="Times New Roman" w:hAnsiTheme="majorBidi" w:cstheme="majorBidi"/>
          <w:sz w:val="20"/>
          <w:szCs w:val="20"/>
        </w:rPr>
        <w:t>3</w:t>
      </w:r>
      <w:r>
        <w:rPr>
          <w:rFonts w:ascii="Arial" w:eastAsia="Times New Roman" w:hAnsi="Arial"/>
        </w:rPr>
        <w:t xml:space="preserve"> :</w:t>
      </w:r>
      <w:r w:rsidRPr="00485029">
        <w:rPr>
          <w:rFonts w:asciiTheme="majorBidi" w:eastAsia="Times New Roman" w:hAnsiTheme="majorBidi" w:cstheme="majorBidi"/>
          <w:b/>
          <w:sz w:val="20"/>
          <w:szCs w:val="20"/>
        </w:rPr>
        <w:t>Harga</w:t>
      </w:r>
      <w:proofErr w:type="gramEnd"/>
      <w:r w:rsidRPr="00485029">
        <w:rPr>
          <w:rFonts w:asciiTheme="majorBidi" w:eastAsia="Times New Roman" w:hAnsiTheme="majorBidi" w:cstheme="majorBidi"/>
          <w:b/>
          <w:sz w:val="20"/>
          <w:szCs w:val="20"/>
        </w:rPr>
        <w:t xml:space="preserve"> Saham PT.Semen Indonesia dan Pergerakan IHSG Tahun 2013</w:t>
      </w:r>
    </w:p>
    <w:p w:rsidR="00485029" w:rsidRDefault="00485029" w:rsidP="00485029">
      <w:pPr>
        <w:widowControl w:val="0"/>
        <w:autoSpaceDE w:val="0"/>
        <w:autoSpaceDN w:val="0"/>
        <w:adjustRightInd w:val="0"/>
        <w:spacing w:after="240" w:line="480" w:lineRule="auto"/>
        <w:rPr>
          <w:rFonts w:ascii="Arial" w:hAnsi="Arial"/>
          <w:sz w:val="20"/>
          <w:szCs w:val="20"/>
        </w:rPr>
      </w:pPr>
      <w:r>
        <w:rPr>
          <w:noProof/>
        </w:rPr>
        <w:drawing>
          <wp:inline distT="0" distB="0" distL="0" distR="0">
            <wp:extent cx="5009322" cy="2329180"/>
            <wp:effectExtent l="0" t="0" r="127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5029" w:rsidRPr="00485029" w:rsidRDefault="00485029" w:rsidP="00485029">
      <w:pPr>
        <w:widowControl w:val="0"/>
        <w:autoSpaceDE w:val="0"/>
        <w:autoSpaceDN w:val="0"/>
        <w:adjustRightInd w:val="0"/>
        <w:spacing w:after="240" w:line="240" w:lineRule="auto"/>
        <w:rPr>
          <w:rFonts w:asciiTheme="majorBidi" w:hAnsiTheme="majorBidi" w:cstheme="majorBidi"/>
          <w:noProof/>
          <w:sz w:val="20"/>
          <w:szCs w:val="20"/>
        </w:rPr>
      </w:pPr>
      <w:proofErr w:type="gramStart"/>
      <w:r w:rsidRPr="00485029">
        <w:rPr>
          <w:rFonts w:asciiTheme="majorBidi" w:hAnsiTheme="majorBidi" w:cstheme="majorBidi"/>
          <w:sz w:val="20"/>
          <w:szCs w:val="20"/>
        </w:rPr>
        <w:t>Sumber :</w:t>
      </w:r>
      <w:proofErr w:type="gramEnd"/>
      <w:r w:rsidRPr="00485029">
        <w:rPr>
          <w:rFonts w:asciiTheme="majorBidi" w:hAnsiTheme="majorBidi" w:cstheme="majorBidi"/>
          <w:sz w:val="20"/>
          <w:szCs w:val="20"/>
        </w:rPr>
        <w:t xml:space="preserve"> PT. Semen Indonesia, diolah (2014)</w:t>
      </w:r>
    </w:p>
    <w:p w:rsidR="004D171B" w:rsidRDefault="00485029" w:rsidP="004D171B">
      <w:pPr>
        <w:widowControl w:val="0"/>
        <w:autoSpaceDE w:val="0"/>
        <w:autoSpaceDN w:val="0"/>
        <w:adjustRightInd w:val="0"/>
        <w:spacing w:after="240" w:line="240" w:lineRule="auto"/>
        <w:ind w:firstLine="720"/>
        <w:contextualSpacing/>
        <w:jc w:val="both"/>
        <w:rPr>
          <w:rFonts w:asciiTheme="majorBidi" w:hAnsiTheme="majorBidi" w:cstheme="majorBidi"/>
          <w:sz w:val="20"/>
          <w:szCs w:val="20"/>
        </w:rPr>
      </w:pPr>
      <w:r w:rsidRPr="00485029">
        <w:rPr>
          <w:rFonts w:asciiTheme="majorBidi" w:hAnsiTheme="majorBidi" w:cstheme="majorBidi"/>
          <w:sz w:val="20"/>
          <w:szCs w:val="20"/>
          <w:lang w:val="id-ID"/>
        </w:rPr>
        <w:t xml:space="preserve">Pada tahun 2013 harga saham PT.Semen Indonesia mengalami penurunan dan IHSG juga mengalami penurunan. Adanya penurunan IHSG dan harga saham PT.Semen Indonesia dikarenakan Indonesia mengalami risiko daya beli uang yang tertinggi di ASEAN pada tahun 2013. Inflasi yang tinggi di Indonesia menjadikan investor tidak ingin menanamkan dananya karena akan adanya kenaikan harga – harga yang memberikan risiko sistemik yang nantinya akan berdampak pada </w:t>
      </w:r>
      <w:r>
        <w:rPr>
          <w:rFonts w:asciiTheme="majorBidi" w:hAnsiTheme="majorBidi" w:cstheme="majorBidi"/>
          <w:sz w:val="20"/>
          <w:szCs w:val="20"/>
          <w:lang w:val="id-ID"/>
        </w:rPr>
        <w:t>keuntungan perusahaan</w:t>
      </w:r>
      <w:r w:rsidRPr="00485029">
        <w:rPr>
          <w:rFonts w:asciiTheme="majorBidi" w:hAnsiTheme="majorBidi" w:cstheme="majorBidi"/>
          <w:sz w:val="20"/>
          <w:szCs w:val="20"/>
          <w:lang w:val="id-ID"/>
        </w:rPr>
        <w:t>.</w:t>
      </w:r>
    </w:p>
    <w:p w:rsidR="00485029" w:rsidRPr="004D171B" w:rsidRDefault="00485029" w:rsidP="004D171B">
      <w:pPr>
        <w:widowControl w:val="0"/>
        <w:autoSpaceDE w:val="0"/>
        <w:autoSpaceDN w:val="0"/>
        <w:adjustRightInd w:val="0"/>
        <w:spacing w:after="240" w:line="240" w:lineRule="auto"/>
        <w:ind w:firstLine="720"/>
        <w:contextualSpacing/>
        <w:jc w:val="both"/>
        <w:rPr>
          <w:rFonts w:asciiTheme="majorBidi" w:hAnsiTheme="majorBidi" w:cstheme="majorBidi"/>
          <w:sz w:val="20"/>
          <w:szCs w:val="20"/>
          <w:lang w:val="id-ID"/>
        </w:rPr>
      </w:pPr>
      <w:r w:rsidRPr="00485029">
        <w:rPr>
          <w:rFonts w:asciiTheme="majorBidi" w:hAnsiTheme="majorBidi" w:cstheme="majorBidi"/>
          <w:sz w:val="20"/>
          <w:szCs w:val="20"/>
          <w:lang w:val="id-ID"/>
        </w:rPr>
        <w:t xml:space="preserve">Kinerja pasar modal dapat dijadikan sebagai salah satu indikator kinerja ekonomi secara keseluruhan dan memberi gambaran apa yang akan terjadi dalam ekonomi makro. </w:t>
      </w:r>
      <w:r w:rsidRPr="00485029">
        <w:rPr>
          <w:rFonts w:asciiTheme="majorBidi" w:hAnsiTheme="majorBidi" w:cstheme="majorBidi"/>
          <w:sz w:val="20"/>
          <w:szCs w:val="20"/>
        </w:rPr>
        <w:t xml:space="preserve">Dengan adanya perubahan pada indikator ekonomi makro secara langsung memberikan pengaruh pada kinerja pasar modal. Untuk itu, keadaan ekonomi makro haruslah dalam kondisi baik yang nantinya </w:t>
      </w:r>
      <w:proofErr w:type="gramStart"/>
      <w:r w:rsidRPr="00485029">
        <w:rPr>
          <w:rFonts w:asciiTheme="majorBidi" w:hAnsiTheme="majorBidi" w:cstheme="majorBidi"/>
          <w:sz w:val="20"/>
          <w:szCs w:val="20"/>
        </w:rPr>
        <w:t>akan</w:t>
      </w:r>
      <w:proofErr w:type="gramEnd"/>
      <w:r w:rsidRPr="00485029">
        <w:rPr>
          <w:rFonts w:asciiTheme="majorBidi" w:hAnsiTheme="majorBidi" w:cstheme="majorBidi"/>
          <w:sz w:val="20"/>
          <w:szCs w:val="20"/>
        </w:rPr>
        <w:t xml:space="preserve"> menarik dan minat investor untuk menginvestasikan dananya.</w:t>
      </w:r>
    </w:p>
    <w:p w:rsidR="00970DA7" w:rsidRPr="00485029" w:rsidRDefault="00485029" w:rsidP="004D171B">
      <w:pPr>
        <w:spacing w:line="240" w:lineRule="auto"/>
        <w:ind w:firstLine="720"/>
        <w:contextualSpacing/>
        <w:jc w:val="both"/>
        <w:rPr>
          <w:rFonts w:asciiTheme="majorBidi" w:hAnsiTheme="majorBidi" w:cstheme="majorBidi"/>
          <w:b/>
          <w:bCs/>
          <w:sz w:val="20"/>
          <w:szCs w:val="20"/>
          <w:lang w:val="id-ID"/>
        </w:rPr>
      </w:pPr>
      <w:r w:rsidRPr="00485029">
        <w:rPr>
          <w:rFonts w:asciiTheme="majorBidi" w:hAnsiTheme="majorBidi" w:cstheme="majorBidi"/>
          <w:sz w:val="20"/>
          <w:szCs w:val="20"/>
          <w:lang w:val="id-ID"/>
        </w:rPr>
        <w:t>Informasi - informasi kondisi ekonomi makro diperlukan investor untuk melakukan investasi. Kondisi ekonomi makro secara keseluruhan akan mempengaruhi kegiatan ekonomi masyarakat, pengusaha dan investor dalam berspekulasi. Kondisi ekonomi makro yang baik akan menciptakan investasi yang baik. Adanya kecenderungan hubungan yang kuat antara apa yang terjadi pada lingkungan ekonomi makro dengan kinerja suatu pasar modal. Perubahan di dalam kinerja pasar modal akan mencerminkan apa yang terjadi pada perubahan perekonomian makro. Dengan adanya perubahan kinerja pasar modal tidak bisa dipisahkan dengan perubahan yang terjadi pada prospek berbagai perusahaan yang ada di pasar yang selanjutnya dapat mempengaruhi aliran kas yang bisa diperoleh dari suatu perusahaan di masa yang akan datang.</w:t>
      </w:r>
    </w:p>
    <w:p w:rsidR="00EC0799" w:rsidRDefault="00EC0799" w:rsidP="00485029">
      <w:pPr>
        <w:spacing w:line="240" w:lineRule="auto"/>
        <w:rPr>
          <w:rFonts w:asciiTheme="majorBidi" w:hAnsiTheme="majorBidi" w:cstheme="majorBidi"/>
          <w:b/>
          <w:bCs/>
          <w:sz w:val="20"/>
          <w:szCs w:val="20"/>
          <w:lang w:val="id-ID"/>
        </w:rPr>
      </w:pPr>
    </w:p>
    <w:p w:rsidR="004D171B" w:rsidRPr="00C355C2" w:rsidRDefault="004D171B" w:rsidP="004D171B">
      <w:pPr>
        <w:spacing w:line="240" w:lineRule="auto"/>
        <w:ind w:left="360"/>
        <w:jc w:val="center"/>
        <w:rPr>
          <w:rFonts w:asciiTheme="majorBidi" w:hAnsiTheme="majorBidi" w:cstheme="majorBidi"/>
          <w:b/>
          <w:bCs/>
          <w:sz w:val="20"/>
          <w:szCs w:val="20"/>
          <w:lang w:val="id-ID"/>
        </w:rPr>
      </w:pPr>
    </w:p>
    <w:p w:rsidR="004D171B" w:rsidRPr="00C355C2" w:rsidRDefault="004D171B" w:rsidP="004D171B">
      <w:pPr>
        <w:spacing w:line="240" w:lineRule="auto"/>
        <w:ind w:left="360"/>
        <w:jc w:val="center"/>
        <w:rPr>
          <w:rFonts w:asciiTheme="majorBidi" w:hAnsiTheme="majorBidi" w:cstheme="majorBidi"/>
          <w:b/>
          <w:bCs/>
          <w:sz w:val="20"/>
          <w:szCs w:val="20"/>
          <w:lang w:val="id-ID"/>
        </w:rPr>
      </w:pPr>
    </w:p>
    <w:p w:rsidR="004D171B" w:rsidRPr="00C355C2" w:rsidRDefault="004D171B" w:rsidP="004D171B">
      <w:pPr>
        <w:spacing w:line="240" w:lineRule="auto"/>
        <w:ind w:left="360"/>
        <w:jc w:val="center"/>
        <w:rPr>
          <w:rFonts w:asciiTheme="majorBidi" w:hAnsiTheme="majorBidi" w:cstheme="majorBidi"/>
          <w:b/>
          <w:bCs/>
          <w:sz w:val="20"/>
          <w:szCs w:val="20"/>
          <w:lang w:val="id-ID"/>
        </w:rPr>
      </w:pPr>
    </w:p>
    <w:p w:rsidR="004D171B" w:rsidRPr="00C355C2" w:rsidRDefault="004D171B" w:rsidP="004D171B">
      <w:pPr>
        <w:spacing w:line="240" w:lineRule="auto"/>
        <w:rPr>
          <w:rFonts w:asciiTheme="majorBidi" w:hAnsiTheme="majorBidi" w:cstheme="majorBidi"/>
          <w:b/>
          <w:bCs/>
          <w:sz w:val="20"/>
          <w:szCs w:val="20"/>
          <w:lang w:val="id-ID"/>
        </w:rPr>
      </w:pPr>
    </w:p>
    <w:p w:rsidR="00485029" w:rsidRPr="004D171B" w:rsidRDefault="00485029" w:rsidP="004D171B">
      <w:pPr>
        <w:pStyle w:val="ListParagraph"/>
        <w:numPr>
          <w:ilvl w:val="0"/>
          <w:numId w:val="1"/>
        </w:numPr>
        <w:spacing w:line="240" w:lineRule="auto"/>
        <w:jc w:val="center"/>
        <w:rPr>
          <w:rFonts w:asciiTheme="majorBidi" w:hAnsiTheme="majorBidi" w:cstheme="majorBidi"/>
          <w:b/>
          <w:bCs/>
          <w:sz w:val="20"/>
          <w:szCs w:val="20"/>
        </w:rPr>
      </w:pPr>
      <w:r w:rsidRPr="004D171B">
        <w:rPr>
          <w:rFonts w:asciiTheme="majorBidi" w:hAnsiTheme="majorBidi" w:cstheme="majorBidi"/>
          <w:b/>
          <w:bCs/>
          <w:sz w:val="20"/>
          <w:szCs w:val="20"/>
        </w:rPr>
        <w:lastRenderedPageBreak/>
        <w:t>KAJIAN PUSTAKA</w:t>
      </w:r>
    </w:p>
    <w:p w:rsidR="00F64D36" w:rsidRPr="00F64D36" w:rsidRDefault="00F64D36" w:rsidP="00F64D36">
      <w:pPr>
        <w:pStyle w:val="Heading3"/>
        <w:numPr>
          <w:ilvl w:val="0"/>
          <w:numId w:val="2"/>
        </w:numPr>
        <w:spacing w:line="480" w:lineRule="auto"/>
        <w:rPr>
          <w:rFonts w:asciiTheme="majorBidi" w:hAnsiTheme="majorBidi" w:cstheme="majorBidi"/>
          <w:i/>
          <w:sz w:val="20"/>
          <w:szCs w:val="20"/>
        </w:rPr>
      </w:pPr>
      <w:bookmarkStart w:id="1" w:name="_Toc414709742"/>
      <w:r w:rsidRPr="00F64D36">
        <w:rPr>
          <w:rFonts w:asciiTheme="majorBidi" w:hAnsiTheme="majorBidi" w:cstheme="majorBidi"/>
          <w:sz w:val="20"/>
          <w:szCs w:val="20"/>
        </w:rPr>
        <w:t>Hubungan Inflasi Terhadap Return Saham</w:t>
      </w:r>
      <w:bookmarkEnd w:id="1"/>
    </w:p>
    <w:p w:rsidR="00F64D36" w:rsidRPr="00F64D36" w:rsidRDefault="00F64D36" w:rsidP="00F64D36">
      <w:pPr>
        <w:widowControl w:val="0"/>
        <w:autoSpaceDE w:val="0"/>
        <w:autoSpaceDN w:val="0"/>
        <w:adjustRightInd w:val="0"/>
        <w:spacing w:after="240" w:line="240" w:lineRule="auto"/>
        <w:ind w:firstLine="720"/>
        <w:contextualSpacing/>
        <w:jc w:val="both"/>
        <w:rPr>
          <w:rFonts w:asciiTheme="majorBidi" w:hAnsiTheme="majorBidi" w:cstheme="majorBidi"/>
          <w:b/>
          <w:sz w:val="20"/>
          <w:szCs w:val="20"/>
        </w:rPr>
      </w:pPr>
      <w:r w:rsidRPr="00F64D36">
        <w:rPr>
          <w:rFonts w:asciiTheme="majorBidi" w:hAnsiTheme="majorBidi" w:cstheme="majorBidi"/>
          <w:sz w:val="20"/>
          <w:szCs w:val="20"/>
        </w:rPr>
        <w:t>Inflasi merupakan fenomena moneter yang pada umumnya menjadi permasalahan yang terjadi hampir di semua negara. Inflasi sendiri dapat didefinisikan sebagai naiknya harga – harga secara umum dan terus – menerus</w:t>
      </w:r>
      <w:r w:rsidRPr="00F64D36">
        <w:rPr>
          <w:rFonts w:asciiTheme="majorBidi" w:hAnsiTheme="majorBidi" w:cstheme="majorBidi"/>
          <w:b/>
          <w:sz w:val="20"/>
          <w:szCs w:val="20"/>
        </w:rPr>
        <w:t xml:space="preserve">. </w:t>
      </w:r>
      <w:r w:rsidRPr="00F64D36">
        <w:rPr>
          <w:rFonts w:asciiTheme="majorBidi" w:hAnsiTheme="majorBidi" w:cstheme="majorBidi"/>
          <w:sz w:val="20"/>
          <w:szCs w:val="20"/>
        </w:rPr>
        <w:t xml:space="preserve">Selain itu, </w:t>
      </w:r>
      <w:r w:rsidRPr="00F64D36">
        <w:rPr>
          <w:rFonts w:asciiTheme="majorBidi" w:hAnsiTheme="majorBidi" w:cstheme="majorBidi"/>
          <w:sz w:val="20"/>
          <w:szCs w:val="20"/>
          <w:lang w:val="id-ID"/>
        </w:rPr>
        <w:t xml:space="preserve">menurut Arifin (2001) </w:t>
      </w:r>
      <w:r w:rsidRPr="00F64D36">
        <w:rPr>
          <w:rFonts w:asciiTheme="majorBidi" w:hAnsiTheme="majorBidi" w:cstheme="majorBidi"/>
          <w:sz w:val="20"/>
          <w:szCs w:val="20"/>
        </w:rPr>
        <w:t>inflasi juga dapat didefinisikan sebagai penurunan daya beli uang. Menurut Tandelilin (2010), inflasi merupakan kecenderungan terjadinya peningkatan harga produk - produk secara keseluruhan. Inflasi yang tinggi mengurangi tingkat pendapatan riil yang diperoleh investor dari investasi. Sebaliknya, jika tingkat inflasi suatu negara mengalami penurunan maka hal ini merupakan sinyal yang positif bagi investor seiring dengan turunnya r</w:t>
      </w:r>
      <w:r w:rsidRPr="00F64D36">
        <w:rPr>
          <w:rFonts w:asciiTheme="majorBidi" w:hAnsiTheme="majorBidi" w:cstheme="majorBidi"/>
          <w:sz w:val="20"/>
          <w:szCs w:val="20"/>
          <w:lang w:val="id-ID"/>
        </w:rPr>
        <w:t>i</w:t>
      </w:r>
      <w:r w:rsidRPr="00F64D36">
        <w:rPr>
          <w:rFonts w:asciiTheme="majorBidi" w:hAnsiTheme="majorBidi" w:cstheme="majorBidi"/>
          <w:sz w:val="20"/>
          <w:szCs w:val="20"/>
        </w:rPr>
        <w:t>siko daya beli uang dan r</w:t>
      </w:r>
      <w:r w:rsidRPr="00F64D36">
        <w:rPr>
          <w:rFonts w:asciiTheme="majorBidi" w:hAnsiTheme="majorBidi" w:cstheme="majorBidi"/>
          <w:sz w:val="20"/>
          <w:szCs w:val="20"/>
          <w:lang w:val="id-ID"/>
        </w:rPr>
        <w:t>i</w:t>
      </w:r>
      <w:r w:rsidRPr="00F64D36">
        <w:rPr>
          <w:rFonts w:asciiTheme="majorBidi" w:hAnsiTheme="majorBidi" w:cstheme="majorBidi"/>
          <w:sz w:val="20"/>
          <w:szCs w:val="20"/>
        </w:rPr>
        <w:t>siko penurunan pendapatan riil.</w:t>
      </w:r>
    </w:p>
    <w:p w:rsidR="00F64D36" w:rsidRDefault="00F64D36" w:rsidP="00F64D36">
      <w:pPr>
        <w:widowControl w:val="0"/>
        <w:autoSpaceDE w:val="0"/>
        <w:autoSpaceDN w:val="0"/>
        <w:adjustRightInd w:val="0"/>
        <w:spacing w:after="240" w:line="240" w:lineRule="auto"/>
        <w:ind w:firstLine="720"/>
        <w:jc w:val="both"/>
        <w:rPr>
          <w:rFonts w:ascii="Arial" w:hAnsi="Arial" w:cs="Arial"/>
        </w:rPr>
      </w:pPr>
      <w:r w:rsidRPr="00F64D36">
        <w:rPr>
          <w:rFonts w:asciiTheme="majorBidi" w:hAnsiTheme="majorBidi" w:cstheme="majorBidi"/>
          <w:sz w:val="20"/>
          <w:szCs w:val="20"/>
        </w:rPr>
        <w:t xml:space="preserve">Inflasi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mempengaruhi perekonomian dengan adanya menurunnya pendapatan, kekayaan, dan efisiensi produksi. Dengan tingginya inflasi maka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terjadi penurunan jumlah permintaan secara agregat. Penurunan jumlah permintaan ini yang nantinya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menurunkan pendapatan perusahaan sehingga akan berpengaruh pada </w:t>
      </w:r>
      <w:r w:rsidRPr="00F64D36">
        <w:rPr>
          <w:rFonts w:asciiTheme="majorBidi" w:hAnsiTheme="majorBidi" w:cstheme="majorBidi"/>
          <w:i/>
          <w:sz w:val="20"/>
          <w:szCs w:val="20"/>
        </w:rPr>
        <w:t>return</w:t>
      </w:r>
      <w:r w:rsidRPr="00F64D36">
        <w:rPr>
          <w:rFonts w:asciiTheme="majorBidi" w:hAnsiTheme="majorBidi" w:cstheme="majorBidi"/>
          <w:sz w:val="20"/>
          <w:szCs w:val="20"/>
        </w:rPr>
        <w:t xml:space="preserve"> yang diterima perusahaan. Inflasi yang tinggi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menurunkan profitabilitas suatu perusahaan dimana harga produksi semakin naik. Dengan turunnya profit perusahaan adalah informasi yang tidak baik bagi para investor di bursa saham dan dapat mengakibatkan turunnya harga saham dan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mempengaruhi </w:t>
      </w:r>
      <w:r w:rsidRPr="00F64D36">
        <w:rPr>
          <w:rFonts w:asciiTheme="majorBidi" w:hAnsiTheme="majorBidi" w:cstheme="majorBidi"/>
          <w:i/>
          <w:sz w:val="20"/>
          <w:szCs w:val="20"/>
        </w:rPr>
        <w:t>return</w:t>
      </w:r>
      <w:r w:rsidRPr="00F64D36">
        <w:rPr>
          <w:rFonts w:asciiTheme="majorBidi" w:hAnsiTheme="majorBidi" w:cstheme="majorBidi"/>
          <w:sz w:val="20"/>
          <w:szCs w:val="20"/>
        </w:rPr>
        <w:t xml:space="preserve"> saham perusahaan tersebut</w:t>
      </w:r>
      <w:r>
        <w:rPr>
          <w:rFonts w:ascii="Arial" w:hAnsi="Arial" w:cs="Arial"/>
        </w:rPr>
        <w:t>.</w:t>
      </w:r>
    </w:p>
    <w:p w:rsidR="00F64D36" w:rsidRPr="00505DD9" w:rsidRDefault="00F64D36" w:rsidP="00F64D36">
      <w:pPr>
        <w:pStyle w:val="Heading3"/>
        <w:numPr>
          <w:ilvl w:val="0"/>
          <w:numId w:val="2"/>
        </w:numPr>
        <w:spacing w:line="480" w:lineRule="auto"/>
        <w:rPr>
          <w:rFonts w:ascii="Arial" w:hAnsi="Arial" w:cs="Arial"/>
          <w:i/>
          <w:sz w:val="22"/>
          <w:szCs w:val="22"/>
        </w:rPr>
      </w:pPr>
      <w:bookmarkStart w:id="2" w:name="_Toc287470660"/>
      <w:bookmarkStart w:id="3" w:name="_Toc414709743"/>
      <w:r w:rsidRPr="00F64D36">
        <w:rPr>
          <w:rFonts w:asciiTheme="majorBidi" w:hAnsiTheme="majorBidi" w:cstheme="majorBidi"/>
          <w:sz w:val="20"/>
          <w:szCs w:val="20"/>
        </w:rPr>
        <w:t>Hubungan Nilai Tukar Terhadap Return Saham</w:t>
      </w:r>
      <w:bookmarkEnd w:id="2"/>
      <w:bookmarkEnd w:id="3"/>
    </w:p>
    <w:p w:rsidR="00F64D36" w:rsidRPr="00F64D36" w:rsidRDefault="00F64D36" w:rsidP="00F64D36">
      <w:pPr>
        <w:widowControl w:val="0"/>
        <w:autoSpaceDE w:val="0"/>
        <w:autoSpaceDN w:val="0"/>
        <w:adjustRightInd w:val="0"/>
        <w:spacing w:after="240" w:line="240" w:lineRule="auto"/>
        <w:ind w:firstLine="720"/>
        <w:contextualSpacing/>
        <w:jc w:val="both"/>
        <w:rPr>
          <w:rFonts w:asciiTheme="majorBidi" w:hAnsiTheme="majorBidi" w:cstheme="majorBidi"/>
          <w:sz w:val="20"/>
          <w:szCs w:val="20"/>
        </w:rPr>
      </w:pPr>
      <w:r w:rsidRPr="00F64D36">
        <w:rPr>
          <w:rFonts w:asciiTheme="majorBidi" w:hAnsiTheme="majorBidi" w:cstheme="majorBidi"/>
          <w:sz w:val="20"/>
          <w:szCs w:val="20"/>
        </w:rPr>
        <w:t>Kurs diartikan sebagai harga satu unit mata uang domestik dalam satuan valuta asing. Melemahnya nilai tukar domestik terhadap mata uang asing (seperti rupiah terhadap dollar) memberikan pengaruh yang negatif terhadap pasar modal karena pasar modal menjadi tidak memiliki daya tarik karena daya beli uang domestik untuk dikonversikan ke valuta asing menjadi turun yang menyebabkan investor tidak ingin menanamkan modalnya.</w:t>
      </w:r>
    </w:p>
    <w:p w:rsidR="00F64D36" w:rsidRPr="00F64D36" w:rsidRDefault="00F64D36" w:rsidP="00F64D36">
      <w:pPr>
        <w:widowControl w:val="0"/>
        <w:autoSpaceDE w:val="0"/>
        <w:autoSpaceDN w:val="0"/>
        <w:adjustRightInd w:val="0"/>
        <w:spacing w:after="240" w:line="240" w:lineRule="auto"/>
        <w:ind w:firstLine="720"/>
        <w:contextualSpacing/>
        <w:jc w:val="both"/>
        <w:rPr>
          <w:rFonts w:asciiTheme="majorBidi" w:hAnsiTheme="majorBidi" w:cstheme="majorBidi"/>
          <w:sz w:val="20"/>
          <w:szCs w:val="20"/>
        </w:rPr>
      </w:pPr>
      <w:r w:rsidRPr="00F64D36">
        <w:rPr>
          <w:rFonts w:asciiTheme="majorBidi" w:hAnsiTheme="majorBidi" w:cstheme="majorBidi"/>
          <w:sz w:val="20"/>
          <w:szCs w:val="20"/>
        </w:rPr>
        <w:t xml:space="preserve">Nilai tukar mata uang memberi andil dalam pergerakan harga saham dimana dalam teori makroekonomi, nilai tukar dengan harga saham mempunyai korelasi dan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berpengaruh terhadap kinerja suatu perusahaan. Seorang investor dan pelaku pasar modal biasanya sangat berhati – hati dalam menentukan posisi beli atau jual jika posisi nilai tukar tidak stabil. Dalam sektor properti, kondisi nilai tukar rupiah yang menurun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berdampak buruk mengingat banyak perusahaan properti memiliki hutang luar negeri. Kinerja yang menurun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berdampak pula pada penurunan </w:t>
      </w:r>
      <w:r w:rsidRPr="00F64D36">
        <w:rPr>
          <w:rFonts w:asciiTheme="majorBidi" w:hAnsiTheme="majorBidi" w:cstheme="majorBidi"/>
          <w:i/>
          <w:iCs/>
          <w:sz w:val="20"/>
          <w:szCs w:val="20"/>
        </w:rPr>
        <w:t xml:space="preserve">return </w:t>
      </w:r>
      <w:r w:rsidRPr="00F64D36">
        <w:rPr>
          <w:rFonts w:asciiTheme="majorBidi" w:hAnsiTheme="majorBidi" w:cstheme="majorBidi"/>
          <w:sz w:val="20"/>
          <w:szCs w:val="20"/>
        </w:rPr>
        <w:t xml:space="preserve">saham, terutama di dunia properti. Hal ini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menyebabkan lesunya minat investor domestik maupun asing untuk menanamkan dananya karena ekspektasi yang kurang menguntungkan.</w:t>
      </w:r>
    </w:p>
    <w:p w:rsidR="00F64D36" w:rsidRPr="00F64D36" w:rsidRDefault="00F64D36" w:rsidP="00F64D36">
      <w:pPr>
        <w:widowControl w:val="0"/>
        <w:autoSpaceDE w:val="0"/>
        <w:autoSpaceDN w:val="0"/>
        <w:adjustRightInd w:val="0"/>
        <w:spacing w:after="240" w:line="240" w:lineRule="auto"/>
        <w:ind w:firstLine="720"/>
        <w:jc w:val="both"/>
        <w:rPr>
          <w:rFonts w:asciiTheme="majorBidi" w:hAnsiTheme="majorBidi" w:cstheme="majorBidi"/>
          <w:sz w:val="20"/>
          <w:szCs w:val="20"/>
        </w:rPr>
      </w:pPr>
      <w:r w:rsidRPr="00F64D36">
        <w:rPr>
          <w:rFonts w:asciiTheme="majorBidi" w:hAnsiTheme="majorBidi" w:cstheme="majorBidi"/>
          <w:sz w:val="20"/>
          <w:szCs w:val="20"/>
        </w:rPr>
        <w:t>Ada dua teori untuk menunjukkan adanya hubungan antara nilai tukar denga</w:t>
      </w:r>
      <w:r w:rsidRPr="00F64D36">
        <w:rPr>
          <w:rFonts w:asciiTheme="majorBidi" w:hAnsiTheme="majorBidi" w:cstheme="majorBidi"/>
          <w:sz w:val="20"/>
          <w:szCs w:val="20"/>
          <w:lang w:val="id-ID"/>
        </w:rPr>
        <w:t>n</w:t>
      </w:r>
      <w:r w:rsidRPr="00F64D36">
        <w:rPr>
          <w:rFonts w:asciiTheme="majorBidi" w:hAnsiTheme="majorBidi" w:cstheme="majorBidi"/>
          <w:sz w:val="20"/>
          <w:szCs w:val="20"/>
        </w:rPr>
        <w:t xml:space="preserve"> harga saham. Dimana teori tersebut </w:t>
      </w:r>
      <w:proofErr w:type="gramStart"/>
      <w:r w:rsidRPr="00F64D36">
        <w:rPr>
          <w:rFonts w:asciiTheme="majorBidi" w:hAnsiTheme="majorBidi" w:cstheme="majorBidi"/>
          <w:sz w:val="20"/>
          <w:szCs w:val="20"/>
        </w:rPr>
        <w:t>yaitu :</w:t>
      </w:r>
      <w:proofErr w:type="gramEnd"/>
    </w:p>
    <w:p w:rsidR="00F64D36" w:rsidRPr="00F64D36" w:rsidRDefault="00F64D36" w:rsidP="00F64D36">
      <w:pPr>
        <w:widowControl w:val="0"/>
        <w:numPr>
          <w:ilvl w:val="0"/>
          <w:numId w:val="3"/>
        </w:numPr>
        <w:autoSpaceDE w:val="0"/>
        <w:autoSpaceDN w:val="0"/>
        <w:adjustRightInd w:val="0"/>
        <w:spacing w:after="240" w:line="240" w:lineRule="auto"/>
        <w:jc w:val="both"/>
        <w:rPr>
          <w:rFonts w:asciiTheme="majorBidi" w:hAnsiTheme="majorBidi" w:cstheme="majorBidi"/>
          <w:sz w:val="20"/>
          <w:szCs w:val="20"/>
        </w:rPr>
      </w:pPr>
      <w:r w:rsidRPr="00F64D36">
        <w:rPr>
          <w:rFonts w:asciiTheme="majorBidi" w:hAnsiTheme="majorBidi" w:cstheme="majorBidi"/>
          <w:i/>
          <w:sz w:val="20"/>
          <w:szCs w:val="20"/>
        </w:rPr>
        <w:t>Good Market Approach</w:t>
      </w:r>
      <w:r w:rsidRPr="00F64D36">
        <w:rPr>
          <w:rFonts w:asciiTheme="majorBidi" w:hAnsiTheme="majorBidi" w:cstheme="majorBidi"/>
          <w:sz w:val="20"/>
          <w:szCs w:val="20"/>
        </w:rPr>
        <w:t xml:space="preserve"> yang menyatakan perubahan mata uang atau kurs mempengaruhi kompetitifnya suatu perusahaan yang nantinya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mempengaruhi pendapatan perusahaan dan selajutnya harga saham yang nantinya akan berdampak pada </w:t>
      </w:r>
      <w:r w:rsidRPr="00F64D36">
        <w:rPr>
          <w:rFonts w:asciiTheme="majorBidi" w:hAnsiTheme="majorBidi" w:cstheme="majorBidi"/>
          <w:i/>
          <w:sz w:val="20"/>
          <w:szCs w:val="20"/>
        </w:rPr>
        <w:t>return</w:t>
      </w:r>
      <w:r w:rsidRPr="00F64D36">
        <w:rPr>
          <w:rFonts w:asciiTheme="majorBidi" w:hAnsiTheme="majorBidi" w:cstheme="majorBidi"/>
          <w:sz w:val="20"/>
          <w:szCs w:val="20"/>
        </w:rPr>
        <w:t xml:space="preserve"> saham.</w:t>
      </w:r>
    </w:p>
    <w:p w:rsidR="00F64D36" w:rsidRPr="00F64D36" w:rsidRDefault="00F64D36" w:rsidP="00F64D36">
      <w:pPr>
        <w:widowControl w:val="0"/>
        <w:numPr>
          <w:ilvl w:val="0"/>
          <w:numId w:val="3"/>
        </w:numPr>
        <w:autoSpaceDE w:val="0"/>
        <w:autoSpaceDN w:val="0"/>
        <w:adjustRightInd w:val="0"/>
        <w:spacing w:after="240" w:line="240" w:lineRule="auto"/>
        <w:jc w:val="both"/>
        <w:rPr>
          <w:rFonts w:asciiTheme="majorBidi" w:hAnsiTheme="majorBidi" w:cstheme="majorBidi"/>
          <w:sz w:val="20"/>
          <w:szCs w:val="20"/>
        </w:rPr>
      </w:pPr>
      <w:r w:rsidRPr="00F64D36">
        <w:rPr>
          <w:rFonts w:asciiTheme="majorBidi" w:hAnsiTheme="majorBidi" w:cstheme="majorBidi"/>
          <w:i/>
          <w:sz w:val="20"/>
          <w:szCs w:val="20"/>
        </w:rPr>
        <w:t>Portofolio Balance Approach</w:t>
      </w:r>
      <w:r w:rsidRPr="00F64D36">
        <w:rPr>
          <w:rFonts w:asciiTheme="majorBidi" w:hAnsiTheme="majorBidi" w:cstheme="majorBidi"/>
          <w:sz w:val="20"/>
          <w:szCs w:val="20"/>
        </w:rPr>
        <w:t xml:space="preserve"> yang menyatakan kenaikan </w:t>
      </w:r>
      <w:r w:rsidRPr="00F64D36">
        <w:rPr>
          <w:rFonts w:asciiTheme="majorBidi" w:hAnsiTheme="majorBidi" w:cstheme="majorBidi"/>
          <w:i/>
          <w:sz w:val="20"/>
          <w:szCs w:val="20"/>
        </w:rPr>
        <w:t>return</w:t>
      </w:r>
      <w:r w:rsidRPr="00F64D36">
        <w:rPr>
          <w:rFonts w:asciiTheme="majorBidi" w:hAnsiTheme="majorBidi" w:cstheme="majorBidi"/>
          <w:sz w:val="20"/>
          <w:szCs w:val="20"/>
        </w:rPr>
        <w:t xml:space="preserve"> saham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menarik arus modal </w:t>
      </w:r>
      <w:r w:rsidRPr="00F64D36">
        <w:rPr>
          <w:rFonts w:asciiTheme="majorBidi" w:hAnsiTheme="majorBidi" w:cstheme="majorBidi"/>
          <w:i/>
          <w:sz w:val="20"/>
          <w:szCs w:val="20"/>
        </w:rPr>
        <w:t>(capital flow)</w:t>
      </w:r>
      <w:r w:rsidRPr="00F64D36">
        <w:rPr>
          <w:rFonts w:asciiTheme="majorBidi" w:hAnsiTheme="majorBidi" w:cstheme="majorBidi"/>
          <w:sz w:val="20"/>
          <w:szCs w:val="20"/>
        </w:rPr>
        <w:t xml:space="preserve"> yang selanjutnya akan meningkatkan </w:t>
      </w:r>
      <w:r w:rsidRPr="00F64D36">
        <w:rPr>
          <w:rFonts w:asciiTheme="majorBidi" w:hAnsiTheme="majorBidi" w:cstheme="majorBidi"/>
          <w:i/>
          <w:sz w:val="20"/>
          <w:szCs w:val="20"/>
        </w:rPr>
        <w:t>demand</w:t>
      </w:r>
      <w:r w:rsidRPr="00F64D36">
        <w:rPr>
          <w:rFonts w:asciiTheme="majorBidi" w:hAnsiTheme="majorBidi" w:cstheme="majorBidi"/>
          <w:sz w:val="20"/>
          <w:szCs w:val="20"/>
        </w:rPr>
        <w:t xml:space="preserve"> mata uang domestik dan kurs terapresiasi.</w:t>
      </w:r>
    </w:p>
    <w:p w:rsidR="00F64D36" w:rsidRPr="00F64D36" w:rsidRDefault="00F64D36" w:rsidP="00F64D36">
      <w:pPr>
        <w:widowControl w:val="0"/>
        <w:autoSpaceDE w:val="0"/>
        <w:autoSpaceDN w:val="0"/>
        <w:adjustRightInd w:val="0"/>
        <w:spacing w:after="240" w:line="240" w:lineRule="auto"/>
        <w:ind w:firstLine="720"/>
        <w:jc w:val="both"/>
        <w:rPr>
          <w:rFonts w:asciiTheme="majorBidi" w:hAnsiTheme="majorBidi" w:cstheme="majorBidi"/>
          <w:sz w:val="20"/>
          <w:szCs w:val="20"/>
        </w:rPr>
      </w:pPr>
      <w:r w:rsidRPr="00F64D36">
        <w:rPr>
          <w:rFonts w:asciiTheme="majorBidi" w:hAnsiTheme="majorBidi" w:cstheme="majorBidi"/>
          <w:sz w:val="20"/>
          <w:szCs w:val="20"/>
        </w:rPr>
        <w:t xml:space="preserve">Di dalam penelitian Wongbangpo dan Sharma (2002) menemukan bahwa nilai tukar memiliki hubungan positif dengan harga saham di negara Indonesia, Malaysia, dan Filipina, sebaliknya berhubungan negatif di Singapura dan Thailand. Dengan begitu perubahan nilai tukar posisi yang ada sekarang menjadi acuan untuk investor untuk berspekulasi di masa yang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datang.</w:t>
      </w:r>
    </w:p>
    <w:p w:rsidR="00F64D36" w:rsidRPr="00F64D36" w:rsidRDefault="00F64D36" w:rsidP="00F64D36">
      <w:pPr>
        <w:pStyle w:val="Heading3"/>
        <w:numPr>
          <w:ilvl w:val="0"/>
          <w:numId w:val="2"/>
        </w:numPr>
        <w:rPr>
          <w:rFonts w:asciiTheme="majorBidi" w:hAnsiTheme="majorBidi" w:cstheme="majorBidi"/>
          <w:i/>
          <w:sz w:val="20"/>
          <w:szCs w:val="20"/>
          <w:lang w:val="id-ID"/>
        </w:rPr>
      </w:pPr>
      <w:bookmarkStart w:id="4" w:name="_Toc287470661"/>
      <w:bookmarkStart w:id="5" w:name="_Toc414709744"/>
      <w:r w:rsidRPr="00F64D36">
        <w:rPr>
          <w:rFonts w:asciiTheme="majorBidi" w:hAnsiTheme="majorBidi" w:cstheme="majorBidi"/>
          <w:sz w:val="20"/>
          <w:szCs w:val="20"/>
        </w:rPr>
        <w:lastRenderedPageBreak/>
        <w:t>Hubungan Tingkat Suku Bunga Terhadap Return Saham</w:t>
      </w:r>
      <w:bookmarkEnd w:id="4"/>
      <w:bookmarkEnd w:id="5"/>
    </w:p>
    <w:p w:rsidR="00F64D36" w:rsidRPr="00F64D36" w:rsidRDefault="00F64D36" w:rsidP="00F64D36">
      <w:pPr>
        <w:widowControl w:val="0"/>
        <w:autoSpaceDE w:val="0"/>
        <w:autoSpaceDN w:val="0"/>
        <w:adjustRightInd w:val="0"/>
        <w:spacing w:after="240" w:line="240" w:lineRule="auto"/>
        <w:ind w:firstLine="720"/>
        <w:contextualSpacing/>
        <w:jc w:val="both"/>
        <w:rPr>
          <w:rFonts w:asciiTheme="majorBidi" w:hAnsiTheme="majorBidi" w:cstheme="majorBidi"/>
          <w:sz w:val="20"/>
          <w:szCs w:val="20"/>
        </w:rPr>
      </w:pPr>
      <w:r w:rsidRPr="00F64D36">
        <w:rPr>
          <w:rFonts w:asciiTheme="majorBidi" w:hAnsiTheme="majorBidi" w:cstheme="majorBidi"/>
          <w:sz w:val="20"/>
          <w:szCs w:val="20"/>
        </w:rPr>
        <w:t xml:space="preserve">Tingkat suku bunga atau </w:t>
      </w:r>
      <w:r w:rsidRPr="00F64D36">
        <w:rPr>
          <w:rFonts w:asciiTheme="majorBidi" w:hAnsiTheme="majorBidi" w:cstheme="majorBidi"/>
          <w:i/>
          <w:iCs/>
          <w:sz w:val="20"/>
          <w:szCs w:val="20"/>
        </w:rPr>
        <w:t xml:space="preserve">interest rate </w:t>
      </w:r>
      <w:r w:rsidRPr="00F64D36">
        <w:rPr>
          <w:rFonts w:asciiTheme="majorBidi" w:hAnsiTheme="majorBidi" w:cstheme="majorBidi"/>
          <w:sz w:val="20"/>
          <w:szCs w:val="20"/>
        </w:rPr>
        <w:t>merupakan pengembalian atas sejumlah investasi sebagai bentuk imbalan yang diberikan kepada investor dalam menanamkan dananya</w:t>
      </w:r>
      <w:r w:rsidRPr="00F64D36">
        <w:rPr>
          <w:rFonts w:asciiTheme="majorBidi" w:hAnsiTheme="majorBidi" w:cstheme="majorBidi"/>
          <w:b/>
          <w:sz w:val="20"/>
          <w:szCs w:val="20"/>
        </w:rPr>
        <w:t xml:space="preserve">. </w:t>
      </w:r>
      <w:r w:rsidRPr="00F64D36">
        <w:rPr>
          <w:rFonts w:asciiTheme="majorBidi" w:hAnsiTheme="majorBidi" w:cstheme="majorBidi"/>
          <w:sz w:val="20"/>
          <w:szCs w:val="20"/>
        </w:rPr>
        <w:t xml:space="preserve">Tingkat suku bunga dapat menjadi salah satu pedoman investor dalam pengambilan keputusan investasi pada pasar modal. Sebagai wahana alternatif investasi, pasar modal menawarkan suatu tingkat pengembalian </w:t>
      </w:r>
      <w:r w:rsidRPr="00F64D36">
        <w:rPr>
          <w:rFonts w:asciiTheme="majorBidi" w:hAnsiTheme="majorBidi" w:cstheme="majorBidi"/>
          <w:i/>
          <w:sz w:val="20"/>
          <w:szCs w:val="20"/>
        </w:rPr>
        <w:t>(return)</w:t>
      </w:r>
      <w:r w:rsidRPr="00F64D36">
        <w:rPr>
          <w:rFonts w:asciiTheme="majorBidi" w:hAnsiTheme="majorBidi" w:cstheme="majorBidi"/>
          <w:sz w:val="20"/>
          <w:szCs w:val="20"/>
        </w:rPr>
        <w:t xml:space="preserve"> pada tingkat risiko tertentu. Dengan membandingkan faktor keuntungan dan risiko pada pasar modal dengan faktor tingkat suku bunga yang ditawarkan sektor keuangan, investor dapat memutuskan bentuk investasi </w:t>
      </w:r>
      <w:proofErr w:type="gramStart"/>
      <w:r w:rsidRPr="00F64D36">
        <w:rPr>
          <w:rFonts w:asciiTheme="majorBidi" w:hAnsiTheme="majorBidi" w:cstheme="majorBidi"/>
          <w:sz w:val="20"/>
          <w:szCs w:val="20"/>
        </w:rPr>
        <w:t>apa</w:t>
      </w:r>
      <w:proofErr w:type="gramEnd"/>
      <w:r w:rsidRPr="00F64D36">
        <w:rPr>
          <w:rFonts w:asciiTheme="majorBidi" w:hAnsiTheme="majorBidi" w:cstheme="majorBidi"/>
          <w:sz w:val="20"/>
          <w:szCs w:val="20"/>
        </w:rPr>
        <w:t xml:space="preserve"> yang mampu menghasilkan keuntungan yang optimal dengan sesuai ekspektasi.</w:t>
      </w:r>
    </w:p>
    <w:p w:rsidR="00F64D36" w:rsidRPr="00F64D36" w:rsidRDefault="00F64D36" w:rsidP="00F64D36">
      <w:pPr>
        <w:widowControl w:val="0"/>
        <w:autoSpaceDE w:val="0"/>
        <w:autoSpaceDN w:val="0"/>
        <w:adjustRightInd w:val="0"/>
        <w:spacing w:after="240" w:line="240" w:lineRule="auto"/>
        <w:ind w:firstLine="720"/>
        <w:contextualSpacing/>
        <w:jc w:val="both"/>
        <w:rPr>
          <w:rFonts w:asciiTheme="majorBidi" w:hAnsiTheme="majorBidi" w:cstheme="majorBidi"/>
          <w:sz w:val="20"/>
          <w:szCs w:val="20"/>
          <w:lang w:val="id-ID"/>
        </w:rPr>
      </w:pPr>
      <w:r w:rsidRPr="00F64D36">
        <w:rPr>
          <w:rFonts w:asciiTheme="majorBidi" w:hAnsiTheme="majorBidi" w:cstheme="majorBidi"/>
          <w:sz w:val="20"/>
          <w:szCs w:val="20"/>
          <w:lang w:val="id-ID"/>
        </w:rPr>
        <w:t xml:space="preserve">Menurut Tandelilin (2010) </w:t>
      </w:r>
      <w:r w:rsidRPr="00F64D36">
        <w:rPr>
          <w:rFonts w:asciiTheme="majorBidi" w:hAnsiTheme="majorBidi" w:cstheme="majorBidi"/>
          <w:sz w:val="20"/>
          <w:szCs w:val="20"/>
        </w:rPr>
        <w:t xml:space="preserve">tingkat bunga dan harga saham memiliki hubungan yang negatif. Tingkat suku bunga yang rendah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menyebabkan biaya peminjaman yang lebih rendah. Suku bunga yang rendah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menimbulkan investasi dan kegiatan perekonomian yang akan menyebabkan harga saham meningkat. Dalam dunia properti, suku bunga berperan dalam meningkatkan kegiatan perekonomian sehingga berdampak pada kinerja perusahaan properti yang berakibat langsung pada meningkatnya </w:t>
      </w:r>
      <w:r w:rsidRPr="00F64D36">
        <w:rPr>
          <w:rFonts w:asciiTheme="majorBidi" w:hAnsiTheme="majorBidi" w:cstheme="majorBidi"/>
          <w:i/>
          <w:iCs/>
          <w:sz w:val="20"/>
          <w:szCs w:val="20"/>
        </w:rPr>
        <w:t xml:space="preserve">return </w:t>
      </w:r>
      <w:r w:rsidRPr="00F64D36">
        <w:rPr>
          <w:rFonts w:asciiTheme="majorBidi" w:hAnsiTheme="majorBidi" w:cstheme="majorBidi"/>
          <w:sz w:val="20"/>
          <w:szCs w:val="20"/>
        </w:rPr>
        <w:t xml:space="preserve">saham. Tingkat suku bunga yang meningkat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menyebabkan peningkatan suku bunga yang diwajibkan atas investasi pada suatu saham. </w:t>
      </w:r>
      <w:r w:rsidRPr="00F64D36">
        <w:rPr>
          <w:rFonts w:asciiTheme="majorBidi" w:hAnsiTheme="majorBidi" w:cstheme="majorBidi"/>
          <w:sz w:val="20"/>
          <w:szCs w:val="20"/>
          <w:lang w:val="id-ID"/>
        </w:rPr>
        <w:t xml:space="preserve">Dengan begitu </w:t>
      </w:r>
      <w:r w:rsidRPr="00F64D36">
        <w:rPr>
          <w:rFonts w:asciiTheme="majorBidi" w:hAnsiTheme="majorBidi" w:cstheme="majorBidi"/>
          <w:sz w:val="20"/>
          <w:szCs w:val="20"/>
        </w:rPr>
        <w:t>tingkat suku bunga yang meningkat bisa menimbulkan investor menarik investasinya pada saham yang telah diinvestasikannya dan memindahkannya pada investasi berupa tabungan ataupun deposito</w:t>
      </w:r>
      <w:r w:rsidRPr="00F64D36">
        <w:rPr>
          <w:rFonts w:asciiTheme="majorBidi" w:hAnsiTheme="majorBidi" w:cstheme="majorBidi"/>
          <w:sz w:val="20"/>
          <w:szCs w:val="20"/>
          <w:lang w:val="id-ID"/>
        </w:rPr>
        <w:t>.</w:t>
      </w:r>
    </w:p>
    <w:p w:rsidR="00F64D36" w:rsidRPr="00F64D36" w:rsidRDefault="00F64D36" w:rsidP="00F64D36">
      <w:pPr>
        <w:widowControl w:val="0"/>
        <w:autoSpaceDE w:val="0"/>
        <w:autoSpaceDN w:val="0"/>
        <w:adjustRightInd w:val="0"/>
        <w:spacing w:after="240" w:line="240" w:lineRule="auto"/>
        <w:ind w:firstLine="720"/>
        <w:contextualSpacing/>
        <w:jc w:val="both"/>
        <w:rPr>
          <w:rFonts w:asciiTheme="majorBidi" w:hAnsiTheme="majorBidi" w:cstheme="majorBidi"/>
          <w:sz w:val="20"/>
          <w:szCs w:val="20"/>
        </w:rPr>
      </w:pPr>
      <w:r w:rsidRPr="00F64D36">
        <w:rPr>
          <w:rFonts w:asciiTheme="majorBidi" w:hAnsiTheme="majorBidi" w:cstheme="majorBidi"/>
          <w:sz w:val="20"/>
          <w:szCs w:val="20"/>
        </w:rPr>
        <w:t xml:space="preserve">Tingkat bunga ditentukan oleh permintaan dan penawaran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uang (ditentukan dalam pasar uang). Perubahan tingkat suku bunga selanjutnya </w:t>
      </w:r>
      <w:proofErr w:type="gramStart"/>
      <w:r w:rsidRPr="00F64D36">
        <w:rPr>
          <w:rFonts w:asciiTheme="majorBidi" w:hAnsiTheme="majorBidi" w:cstheme="majorBidi"/>
          <w:sz w:val="20"/>
          <w:szCs w:val="20"/>
        </w:rPr>
        <w:t>akan</w:t>
      </w:r>
      <w:proofErr w:type="gramEnd"/>
      <w:r w:rsidRPr="00F64D36">
        <w:rPr>
          <w:rFonts w:asciiTheme="majorBidi" w:hAnsiTheme="majorBidi" w:cstheme="majorBidi"/>
          <w:sz w:val="20"/>
          <w:szCs w:val="20"/>
        </w:rPr>
        <w:t xml:space="preserve"> mempengaruhi keinginan untuk melakukan kegiatan investasi, misalnya pada surat berharga, dimana harga dapat naik atau turun tergantung pada tingkat bunga (bila tingkat bunga naik maka surat berharga turun dan sebaliknya), sehingga ada kemungkinan pada pemegang surat berharga akan mengalami </w:t>
      </w:r>
      <w:r w:rsidRPr="00F64D36">
        <w:rPr>
          <w:rFonts w:asciiTheme="majorBidi" w:hAnsiTheme="majorBidi" w:cstheme="majorBidi"/>
          <w:i/>
          <w:iCs/>
          <w:sz w:val="20"/>
          <w:szCs w:val="20"/>
        </w:rPr>
        <w:t xml:space="preserve">capital loss </w:t>
      </w:r>
      <w:r w:rsidRPr="00F64D36">
        <w:rPr>
          <w:rFonts w:asciiTheme="majorBidi" w:hAnsiTheme="majorBidi" w:cstheme="majorBidi"/>
          <w:sz w:val="20"/>
          <w:szCs w:val="20"/>
        </w:rPr>
        <w:t xml:space="preserve">atau </w:t>
      </w:r>
      <w:r w:rsidRPr="00F64D36">
        <w:rPr>
          <w:rFonts w:asciiTheme="majorBidi" w:hAnsiTheme="majorBidi" w:cstheme="majorBidi"/>
          <w:i/>
          <w:sz w:val="20"/>
          <w:szCs w:val="20"/>
        </w:rPr>
        <w:t xml:space="preserve">capital </w:t>
      </w:r>
      <w:r w:rsidRPr="00F64D36">
        <w:rPr>
          <w:rFonts w:asciiTheme="majorBidi" w:hAnsiTheme="majorBidi" w:cstheme="majorBidi"/>
          <w:i/>
          <w:iCs/>
          <w:sz w:val="20"/>
          <w:szCs w:val="20"/>
        </w:rPr>
        <w:t>gain</w:t>
      </w:r>
      <w:r w:rsidRPr="00F64D36">
        <w:rPr>
          <w:rFonts w:asciiTheme="majorBidi" w:hAnsiTheme="majorBidi" w:cstheme="majorBidi"/>
          <w:sz w:val="20"/>
          <w:szCs w:val="20"/>
        </w:rPr>
        <w:t xml:space="preserve">. </w:t>
      </w:r>
    </w:p>
    <w:p w:rsidR="00F30264" w:rsidRPr="00F30264" w:rsidRDefault="00F30264" w:rsidP="00F30264">
      <w:pPr>
        <w:pStyle w:val="Heading3"/>
        <w:numPr>
          <w:ilvl w:val="0"/>
          <w:numId w:val="2"/>
        </w:numPr>
        <w:rPr>
          <w:rFonts w:asciiTheme="majorBidi" w:hAnsiTheme="majorBidi" w:cstheme="majorBidi"/>
          <w:i/>
          <w:sz w:val="20"/>
          <w:szCs w:val="20"/>
        </w:rPr>
      </w:pPr>
      <w:bookmarkStart w:id="6" w:name="_Toc287470662"/>
      <w:bookmarkStart w:id="7" w:name="_Toc414709745"/>
      <w:r w:rsidRPr="00F30264">
        <w:rPr>
          <w:rFonts w:asciiTheme="majorBidi" w:hAnsiTheme="majorBidi" w:cstheme="majorBidi"/>
          <w:sz w:val="20"/>
          <w:szCs w:val="20"/>
        </w:rPr>
        <w:t>Hubungan Pertumbuhan Ekonomi Terhadap Return Saham</w:t>
      </w:r>
      <w:bookmarkEnd w:id="6"/>
      <w:bookmarkEnd w:id="7"/>
    </w:p>
    <w:p w:rsidR="00F30264" w:rsidRPr="00F30264" w:rsidRDefault="00F30264" w:rsidP="00F30264">
      <w:pPr>
        <w:widowControl w:val="0"/>
        <w:autoSpaceDE w:val="0"/>
        <w:autoSpaceDN w:val="0"/>
        <w:adjustRightInd w:val="0"/>
        <w:spacing w:after="240" w:line="240" w:lineRule="auto"/>
        <w:ind w:firstLine="720"/>
        <w:contextualSpacing/>
        <w:jc w:val="both"/>
        <w:rPr>
          <w:rFonts w:asciiTheme="majorBidi" w:hAnsiTheme="majorBidi" w:cstheme="majorBidi"/>
          <w:sz w:val="20"/>
          <w:szCs w:val="20"/>
          <w:lang w:val="id-ID"/>
        </w:rPr>
      </w:pPr>
      <w:r w:rsidRPr="00F30264">
        <w:rPr>
          <w:rFonts w:asciiTheme="majorBidi" w:hAnsiTheme="majorBidi" w:cstheme="majorBidi"/>
          <w:sz w:val="20"/>
          <w:szCs w:val="20"/>
        </w:rPr>
        <w:t xml:space="preserve">Menurut Dornbusch (2004) bahwa pengukuran tunggal dari pertumbuhan ekonomi adalah Gross Domestic Product (GDP) atau Produk Domestik Bruto (PDB), yaitu penghitungan semua barang dan jasa yang diproduksi di dalam negeri dalam satu tahun. Pertumbuhan ekonomi sendiri menggambarkan kenaikan taraf hidup diukur dengan output riil per orang. Apabila terjadi penurunan GDP yang menggambarkan melemahnya pertumbuhan ekonomi </w:t>
      </w:r>
      <w:proofErr w:type="gramStart"/>
      <w:r w:rsidRPr="00F30264">
        <w:rPr>
          <w:rFonts w:asciiTheme="majorBidi" w:hAnsiTheme="majorBidi" w:cstheme="majorBidi"/>
          <w:sz w:val="20"/>
          <w:szCs w:val="20"/>
        </w:rPr>
        <w:t>akan</w:t>
      </w:r>
      <w:proofErr w:type="gramEnd"/>
      <w:r w:rsidRPr="00F30264">
        <w:rPr>
          <w:rFonts w:asciiTheme="majorBidi" w:hAnsiTheme="majorBidi" w:cstheme="majorBidi"/>
          <w:sz w:val="20"/>
          <w:szCs w:val="20"/>
        </w:rPr>
        <w:t xml:space="preserve"> mengakibatkan kondisi dalam kegiatan perekonomian juga akan melemah karena tidak adanya rangsangan untuk berinvestasi bagi investor yang ingin menanamkan modalnya. Jika pertumbuhan ekonomi membaik, maka daya beli masyarakat </w:t>
      </w:r>
      <w:proofErr w:type="gramStart"/>
      <w:r w:rsidRPr="00F30264">
        <w:rPr>
          <w:rFonts w:asciiTheme="majorBidi" w:hAnsiTheme="majorBidi" w:cstheme="majorBidi"/>
          <w:sz w:val="20"/>
          <w:szCs w:val="20"/>
        </w:rPr>
        <w:t>akan</w:t>
      </w:r>
      <w:proofErr w:type="gramEnd"/>
      <w:r w:rsidRPr="00F30264">
        <w:rPr>
          <w:rFonts w:asciiTheme="majorBidi" w:hAnsiTheme="majorBidi" w:cstheme="majorBidi"/>
          <w:sz w:val="20"/>
          <w:szCs w:val="20"/>
        </w:rPr>
        <w:t xml:space="preserve"> meningkat pula dan hal ini memberikan kesempatan pada perusahaan untuk meningkatkan penjualannya dan calon investor untuk menanamkan modalnya.</w:t>
      </w:r>
      <w:r w:rsidRPr="00F30264">
        <w:rPr>
          <w:rFonts w:asciiTheme="majorBidi" w:hAnsiTheme="majorBidi" w:cstheme="majorBidi"/>
          <w:sz w:val="20"/>
          <w:szCs w:val="20"/>
          <w:lang w:val="id-ID"/>
        </w:rPr>
        <w:t xml:space="preserve"> D</w:t>
      </w:r>
      <w:r w:rsidRPr="00F30264">
        <w:rPr>
          <w:rFonts w:asciiTheme="majorBidi" w:hAnsiTheme="majorBidi" w:cstheme="majorBidi"/>
          <w:sz w:val="20"/>
          <w:szCs w:val="20"/>
        </w:rPr>
        <w:t>engan meningkatnya penjualan dari perusahaan maka kesempatan perusahaan memperoleh laba tersebut juga akan mengalami peningkatan</w:t>
      </w:r>
      <w:r w:rsidRPr="00F30264">
        <w:rPr>
          <w:rFonts w:asciiTheme="majorBidi" w:hAnsiTheme="majorBidi" w:cstheme="majorBidi"/>
          <w:sz w:val="20"/>
          <w:szCs w:val="20"/>
          <w:lang w:val="id-ID"/>
        </w:rPr>
        <w:t>.</w:t>
      </w:r>
    </w:p>
    <w:p w:rsidR="00F30264" w:rsidRPr="00F30264" w:rsidRDefault="00F30264" w:rsidP="00F30264">
      <w:pPr>
        <w:spacing w:line="240" w:lineRule="auto"/>
        <w:ind w:firstLine="720"/>
        <w:contextualSpacing/>
        <w:jc w:val="both"/>
        <w:rPr>
          <w:rFonts w:asciiTheme="majorBidi" w:hAnsiTheme="majorBidi" w:cstheme="majorBidi"/>
          <w:sz w:val="20"/>
          <w:szCs w:val="20"/>
          <w:lang w:val="id-ID"/>
        </w:rPr>
      </w:pPr>
      <w:r w:rsidRPr="00F30264">
        <w:rPr>
          <w:rFonts w:asciiTheme="majorBidi" w:hAnsiTheme="majorBidi" w:cstheme="majorBidi"/>
          <w:sz w:val="20"/>
          <w:szCs w:val="20"/>
          <w:lang w:val="id-ID"/>
        </w:rPr>
        <w:t xml:space="preserve">Korelasi dengan analisis pasar modal terhadap pertumbuhan ekonomi dapat dijelaskan, pertama pertumbuhan ekonomi suatu negara akan dipengaruhi oleh pertumbuhan investasi. Kedua, semakin baik tingkat perekonomian suatu negara, maka semakin baik pula tingkat kemakmuran penduduknya. Tingkat kemakmuran yang lebih tinggi ini umumnya diteruskan dengan adanya kenaikan tingkat pendapatan masyarakatnya. Ketiga, dengan adanya peningkatan pendapatan tersebut, maka akan semakin banyak orang yang memiliki kelebihan dana, kelebihan dana tersebut dapat dimanfaatkan untuk disimpan dalam bentuk tabungan atau diinvestasikan dalam bentuk surat-surat berharga yang diperdagangkan dalam pasar modal. </w:t>
      </w:r>
    </w:p>
    <w:p w:rsidR="00F30264" w:rsidRDefault="00F30264" w:rsidP="00F30264">
      <w:pPr>
        <w:widowControl w:val="0"/>
        <w:autoSpaceDE w:val="0"/>
        <w:autoSpaceDN w:val="0"/>
        <w:adjustRightInd w:val="0"/>
        <w:spacing w:after="240" w:line="240" w:lineRule="auto"/>
        <w:ind w:firstLine="720"/>
        <w:jc w:val="both"/>
        <w:rPr>
          <w:rFonts w:ascii="Arial" w:hAnsi="Arial" w:cs="Arial"/>
        </w:rPr>
      </w:pPr>
      <w:r w:rsidRPr="00F30264">
        <w:rPr>
          <w:rFonts w:asciiTheme="majorBidi" w:hAnsiTheme="majorBidi" w:cstheme="majorBidi"/>
          <w:sz w:val="20"/>
          <w:szCs w:val="20"/>
          <w:lang w:val="id-ID"/>
        </w:rPr>
        <w:t>Menurut Lisa W.P (2003) menyimpulkan terdapat hubungan positif antara pertumbuhan ekonomi terhadap</w:t>
      </w:r>
      <w:r w:rsidRPr="00F30264">
        <w:rPr>
          <w:rFonts w:asciiTheme="majorBidi" w:hAnsiTheme="majorBidi" w:cstheme="majorBidi"/>
          <w:i/>
          <w:sz w:val="20"/>
          <w:szCs w:val="20"/>
          <w:lang w:val="id-ID"/>
        </w:rPr>
        <w:t xml:space="preserve"> return</w:t>
      </w:r>
      <w:r w:rsidRPr="00F30264">
        <w:rPr>
          <w:rFonts w:asciiTheme="majorBidi" w:hAnsiTheme="majorBidi" w:cstheme="majorBidi"/>
          <w:sz w:val="20"/>
          <w:szCs w:val="20"/>
          <w:lang w:val="id-ID"/>
        </w:rPr>
        <w:t xml:space="preserve"> saham, yang artinya pertumbuhan ekonomi yang tinggi akan meningkatkan investasi, meningkatnya investasi akan meningkatkan harga saham. </w:t>
      </w:r>
      <w:r w:rsidRPr="00F30264">
        <w:rPr>
          <w:rFonts w:asciiTheme="majorBidi" w:hAnsiTheme="majorBidi" w:cstheme="majorBidi"/>
          <w:sz w:val="20"/>
          <w:szCs w:val="20"/>
        </w:rPr>
        <w:t xml:space="preserve">Dengan meningkatnya perekonomian </w:t>
      </w:r>
      <w:proofErr w:type="gramStart"/>
      <w:r w:rsidRPr="00F30264">
        <w:rPr>
          <w:rFonts w:asciiTheme="majorBidi" w:hAnsiTheme="majorBidi" w:cstheme="majorBidi"/>
          <w:sz w:val="20"/>
          <w:szCs w:val="20"/>
        </w:rPr>
        <w:t>akan</w:t>
      </w:r>
      <w:proofErr w:type="gramEnd"/>
      <w:r w:rsidRPr="00F30264">
        <w:rPr>
          <w:rFonts w:asciiTheme="majorBidi" w:hAnsiTheme="majorBidi" w:cstheme="majorBidi"/>
          <w:sz w:val="20"/>
          <w:szCs w:val="20"/>
        </w:rPr>
        <w:t xml:space="preserve"> meningkatkan jumlah produksi barang dan jasa. Peningkatan produksi ini </w:t>
      </w:r>
      <w:proofErr w:type="gramStart"/>
      <w:r w:rsidRPr="00F30264">
        <w:rPr>
          <w:rFonts w:asciiTheme="majorBidi" w:hAnsiTheme="majorBidi" w:cstheme="majorBidi"/>
          <w:sz w:val="20"/>
          <w:szCs w:val="20"/>
        </w:rPr>
        <w:t>akan</w:t>
      </w:r>
      <w:proofErr w:type="gramEnd"/>
      <w:r w:rsidRPr="00F30264">
        <w:rPr>
          <w:rFonts w:asciiTheme="majorBidi" w:hAnsiTheme="majorBidi" w:cstheme="majorBidi"/>
          <w:sz w:val="20"/>
          <w:szCs w:val="20"/>
        </w:rPr>
        <w:t xml:space="preserve"> meningkatkan profit perusahaan sehingga harga saham perusahaan akan naik</w:t>
      </w:r>
      <w:r w:rsidRPr="006B020C">
        <w:rPr>
          <w:rFonts w:ascii="Arial" w:hAnsi="Arial" w:cs="Arial"/>
        </w:rPr>
        <w:t>.</w:t>
      </w:r>
    </w:p>
    <w:p w:rsidR="00D37D20" w:rsidRDefault="00D37D20" w:rsidP="00F30264">
      <w:pPr>
        <w:widowControl w:val="0"/>
        <w:autoSpaceDE w:val="0"/>
        <w:autoSpaceDN w:val="0"/>
        <w:adjustRightInd w:val="0"/>
        <w:spacing w:after="240" w:line="240" w:lineRule="auto"/>
        <w:ind w:firstLine="720"/>
        <w:jc w:val="both"/>
        <w:rPr>
          <w:rFonts w:ascii="Arial" w:hAnsi="Arial" w:cs="Arial"/>
        </w:rPr>
      </w:pPr>
    </w:p>
    <w:p w:rsidR="00D37D20" w:rsidRPr="00480F53" w:rsidRDefault="00D37D20" w:rsidP="00F30264">
      <w:pPr>
        <w:widowControl w:val="0"/>
        <w:autoSpaceDE w:val="0"/>
        <w:autoSpaceDN w:val="0"/>
        <w:adjustRightInd w:val="0"/>
        <w:spacing w:after="240" w:line="240" w:lineRule="auto"/>
        <w:ind w:firstLine="720"/>
        <w:jc w:val="both"/>
        <w:rPr>
          <w:rFonts w:ascii="Arial" w:hAnsi="Arial" w:cs="Arial"/>
        </w:rPr>
      </w:pPr>
    </w:p>
    <w:p w:rsidR="00EC0799" w:rsidRDefault="00F30264" w:rsidP="00F30264">
      <w:pPr>
        <w:pStyle w:val="ListParagraph"/>
        <w:numPr>
          <w:ilvl w:val="0"/>
          <w:numId w:val="1"/>
        </w:numPr>
        <w:spacing w:line="240" w:lineRule="auto"/>
        <w:jc w:val="center"/>
        <w:rPr>
          <w:rFonts w:asciiTheme="majorBidi" w:hAnsiTheme="majorBidi" w:cstheme="majorBidi"/>
          <w:b/>
          <w:bCs/>
          <w:sz w:val="20"/>
          <w:szCs w:val="20"/>
        </w:rPr>
      </w:pPr>
      <w:r>
        <w:rPr>
          <w:rFonts w:asciiTheme="majorBidi" w:hAnsiTheme="majorBidi" w:cstheme="majorBidi"/>
          <w:b/>
          <w:bCs/>
          <w:sz w:val="20"/>
          <w:szCs w:val="20"/>
        </w:rPr>
        <w:lastRenderedPageBreak/>
        <w:t>METODE PENELITIAN</w:t>
      </w:r>
    </w:p>
    <w:p w:rsidR="00F30264" w:rsidRPr="00F30264" w:rsidRDefault="00F30264" w:rsidP="00F30264">
      <w:pPr>
        <w:pStyle w:val="Heading2"/>
        <w:numPr>
          <w:ilvl w:val="0"/>
          <w:numId w:val="4"/>
        </w:numPr>
        <w:spacing w:line="240" w:lineRule="auto"/>
        <w:ind w:left="360"/>
        <w:jc w:val="both"/>
        <w:rPr>
          <w:rFonts w:asciiTheme="majorBidi" w:hAnsiTheme="majorBidi"/>
          <w:b/>
          <w:bCs/>
          <w:i/>
          <w:color w:val="auto"/>
          <w:sz w:val="20"/>
          <w:szCs w:val="20"/>
        </w:rPr>
      </w:pPr>
      <w:bookmarkStart w:id="8" w:name="_Toc264492622"/>
      <w:bookmarkStart w:id="9" w:name="_Toc287470668"/>
      <w:bookmarkStart w:id="10" w:name="_Toc414709751"/>
      <w:r w:rsidRPr="00F30264">
        <w:rPr>
          <w:rFonts w:asciiTheme="majorBidi" w:hAnsiTheme="majorBidi"/>
          <w:b/>
          <w:bCs/>
          <w:color w:val="auto"/>
          <w:sz w:val="20"/>
          <w:szCs w:val="20"/>
        </w:rPr>
        <w:t>Jenis Penelitian</w:t>
      </w:r>
      <w:bookmarkEnd w:id="8"/>
      <w:bookmarkEnd w:id="9"/>
      <w:bookmarkEnd w:id="10"/>
    </w:p>
    <w:p w:rsidR="00F30264" w:rsidRPr="00F30264" w:rsidRDefault="00F30264" w:rsidP="00F30264">
      <w:pPr>
        <w:spacing w:line="240" w:lineRule="auto"/>
        <w:ind w:firstLine="720"/>
        <w:contextualSpacing/>
        <w:jc w:val="both"/>
        <w:rPr>
          <w:rFonts w:asciiTheme="majorBidi" w:hAnsiTheme="majorBidi" w:cstheme="majorBidi"/>
          <w:sz w:val="20"/>
          <w:szCs w:val="20"/>
        </w:rPr>
      </w:pPr>
      <w:r w:rsidRPr="00F30264">
        <w:rPr>
          <w:rFonts w:asciiTheme="majorBidi" w:hAnsiTheme="majorBidi" w:cstheme="majorBidi"/>
          <w:sz w:val="20"/>
          <w:szCs w:val="20"/>
        </w:rPr>
        <w:t>Jenis penelitian yang digunakan pada penelitian ini adalah metode pendekatan deskriptif kuantitatif. Menurut Sugiyono (2005), penelitian kuantitatif adalah penelitian ilmiah yang sistematis terhadap bagian – bagian dan fenomena serta hubungan – hubungannya. Tujuan penelitian kuantitatif adalah mengembangkan dan menggunakan model – model matematis, teori – teori dan atau hipotesis yang berkaitan dengan fenomena yang terjadi.</w:t>
      </w:r>
    </w:p>
    <w:p w:rsidR="00F30264" w:rsidRPr="00F30264" w:rsidRDefault="00F30264" w:rsidP="00F30264">
      <w:pPr>
        <w:pStyle w:val="Heading2"/>
        <w:numPr>
          <w:ilvl w:val="0"/>
          <w:numId w:val="4"/>
        </w:numPr>
        <w:spacing w:line="240" w:lineRule="auto"/>
        <w:ind w:left="360"/>
        <w:jc w:val="both"/>
        <w:rPr>
          <w:rFonts w:asciiTheme="majorBidi" w:hAnsiTheme="majorBidi"/>
          <w:b/>
          <w:bCs/>
          <w:i/>
          <w:color w:val="auto"/>
          <w:sz w:val="20"/>
          <w:szCs w:val="20"/>
        </w:rPr>
      </w:pPr>
      <w:bookmarkStart w:id="11" w:name="_Toc264492623"/>
      <w:bookmarkStart w:id="12" w:name="_Toc287470669"/>
      <w:bookmarkStart w:id="13" w:name="_Toc414709752"/>
      <w:r w:rsidRPr="00F30264">
        <w:rPr>
          <w:rFonts w:asciiTheme="majorBidi" w:hAnsiTheme="majorBidi"/>
          <w:b/>
          <w:bCs/>
          <w:color w:val="auto"/>
          <w:sz w:val="20"/>
          <w:szCs w:val="20"/>
        </w:rPr>
        <w:t>Jenis dan Sumber Data</w:t>
      </w:r>
      <w:bookmarkEnd w:id="11"/>
      <w:bookmarkEnd w:id="12"/>
      <w:bookmarkEnd w:id="13"/>
    </w:p>
    <w:p w:rsidR="00F30264" w:rsidRPr="00F30264" w:rsidRDefault="00F30264" w:rsidP="00F30264">
      <w:pPr>
        <w:widowControl w:val="0"/>
        <w:autoSpaceDE w:val="0"/>
        <w:autoSpaceDN w:val="0"/>
        <w:adjustRightInd w:val="0"/>
        <w:spacing w:after="240" w:line="240" w:lineRule="auto"/>
        <w:jc w:val="both"/>
        <w:rPr>
          <w:rFonts w:asciiTheme="majorBidi" w:hAnsiTheme="majorBidi" w:cstheme="majorBidi"/>
          <w:sz w:val="20"/>
          <w:szCs w:val="20"/>
        </w:rPr>
      </w:pPr>
      <w:r w:rsidRPr="00F30264">
        <w:rPr>
          <w:rFonts w:asciiTheme="majorBidi" w:hAnsiTheme="majorBidi" w:cstheme="majorBidi"/>
          <w:b/>
          <w:bCs/>
          <w:sz w:val="20"/>
          <w:szCs w:val="20"/>
        </w:rPr>
        <w:tab/>
      </w:r>
      <w:r w:rsidRPr="00F30264">
        <w:rPr>
          <w:rFonts w:asciiTheme="majorBidi" w:hAnsiTheme="majorBidi" w:cstheme="majorBidi"/>
          <w:sz w:val="20"/>
          <w:szCs w:val="20"/>
        </w:rPr>
        <w:t xml:space="preserve">Data yang digunakan dalam penelitian ini adalah data sekunder yang bersifat kuantitatif berupa data yang dipublikasi dan harga saham yang berasal PT.Semen Indonesia (Persero) Tbk. Data yang diperlukan dalam penelitian ini merupakan data sekunder historis, dimana diperoleh melalui berbagai macam sumber seperti inflasi, nilai tukar, </w:t>
      </w:r>
      <w:r w:rsidRPr="00F30264">
        <w:rPr>
          <w:rFonts w:asciiTheme="majorBidi" w:hAnsiTheme="majorBidi" w:cstheme="majorBidi"/>
          <w:i/>
          <w:sz w:val="20"/>
          <w:szCs w:val="20"/>
        </w:rPr>
        <w:t>BI rate</w:t>
      </w:r>
      <w:r w:rsidRPr="00F30264">
        <w:rPr>
          <w:rFonts w:asciiTheme="majorBidi" w:hAnsiTheme="majorBidi" w:cstheme="majorBidi"/>
          <w:sz w:val="20"/>
          <w:szCs w:val="20"/>
        </w:rPr>
        <w:t>, pertumbuhan ekonomi Indonesia, dan harga saham di PT.Semen Indonesia. Selain itu untuk mengetahui inflasi, nilai tukar, dan BI</w:t>
      </w:r>
      <w:r w:rsidRPr="00F30264">
        <w:rPr>
          <w:rFonts w:asciiTheme="majorBidi" w:hAnsiTheme="majorBidi" w:cstheme="majorBidi"/>
          <w:i/>
          <w:sz w:val="20"/>
          <w:szCs w:val="20"/>
        </w:rPr>
        <w:t xml:space="preserve"> rate</w:t>
      </w:r>
      <w:r w:rsidRPr="00F30264">
        <w:rPr>
          <w:rFonts w:asciiTheme="majorBidi" w:hAnsiTheme="majorBidi" w:cstheme="majorBidi"/>
          <w:sz w:val="20"/>
          <w:szCs w:val="20"/>
        </w:rPr>
        <w:t xml:space="preserve"> dapat dilihat di </w:t>
      </w:r>
      <w:hyperlink r:id="rId10" w:history="1">
        <w:r w:rsidRPr="00F30264">
          <w:rPr>
            <w:rFonts w:asciiTheme="majorBidi" w:hAnsiTheme="majorBidi" w:cstheme="majorBidi"/>
            <w:sz w:val="20"/>
            <w:szCs w:val="20"/>
          </w:rPr>
          <w:t>www.bi.go.id</w:t>
        </w:r>
      </w:hyperlink>
      <w:r w:rsidRPr="00F30264">
        <w:rPr>
          <w:rFonts w:asciiTheme="majorBidi" w:hAnsiTheme="majorBidi" w:cstheme="majorBidi"/>
          <w:sz w:val="20"/>
          <w:szCs w:val="20"/>
        </w:rPr>
        <w:t xml:space="preserve"> dan pertumbuhan ekonomi Indonesia dapat dlihat di </w:t>
      </w:r>
      <w:hyperlink r:id="rId11" w:history="1">
        <w:r w:rsidRPr="00F30264">
          <w:rPr>
            <w:rFonts w:asciiTheme="majorBidi" w:hAnsiTheme="majorBidi" w:cstheme="majorBidi"/>
            <w:sz w:val="20"/>
            <w:szCs w:val="20"/>
          </w:rPr>
          <w:t>www.bps.go.id</w:t>
        </w:r>
      </w:hyperlink>
    </w:p>
    <w:p w:rsidR="00DD2CFE" w:rsidRPr="00DD2CFE" w:rsidRDefault="00DD2CFE" w:rsidP="00DD2CFE">
      <w:pPr>
        <w:pStyle w:val="Heading2"/>
        <w:numPr>
          <w:ilvl w:val="0"/>
          <w:numId w:val="4"/>
        </w:numPr>
        <w:spacing w:line="480" w:lineRule="auto"/>
        <w:ind w:left="360"/>
        <w:rPr>
          <w:rFonts w:asciiTheme="majorBidi" w:hAnsiTheme="majorBidi"/>
          <w:b/>
          <w:bCs/>
          <w:i/>
          <w:color w:val="auto"/>
          <w:sz w:val="20"/>
          <w:szCs w:val="20"/>
        </w:rPr>
      </w:pPr>
      <w:bookmarkStart w:id="14" w:name="_Toc264492626"/>
      <w:bookmarkStart w:id="15" w:name="_Toc287470671"/>
      <w:bookmarkStart w:id="16" w:name="_Toc414709754"/>
      <w:r w:rsidRPr="00DD2CFE">
        <w:rPr>
          <w:rFonts w:asciiTheme="majorBidi" w:hAnsiTheme="majorBidi"/>
          <w:b/>
          <w:bCs/>
          <w:color w:val="auto"/>
          <w:sz w:val="20"/>
          <w:szCs w:val="20"/>
        </w:rPr>
        <w:t>Definisi Operasional Variabel</w:t>
      </w:r>
      <w:bookmarkEnd w:id="14"/>
      <w:bookmarkEnd w:id="15"/>
      <w:bookmarkEnd w:id="16"/>
    </w:p>
    <w:p w:rsidR="00DD2CFE" w:rsidRPr="00DD2CFE" w:rsidRDefault="00DD2CFE" w:rsidP="00DD2CFE">
      <w:pPr>
        <w:widowControl w:val="0"/>
        <w:autoSpaceDE w:val="0"/>
        <w:autoSpaceDN w:val="0"/>
        <w:adjustRightInd w:val="0"/>
        <w:spacing w:after="240" w:line="240" w:lineRule="auto"/>
        <w:ind w:firstLine="720"/>
        <w:jc w:val="both"/>
        <w:rPr>
          <w:rFonts w:asciiTheme="majorBidi" w:hAnsiTheme="majorBidi" w:cstheme="majorBidi"/>
          <w:sz w:val="20"/>
          <w:szCs w:val="20"/>
        </w:rPr>
      </w:pPr>
      <w:r w:rsidRPr="00DD2CFE">
        <w:rPr>
          <w:rFonts w:asciiTheme="majorBidi" w:hAnsiTheme="majorBidi" w:cstheme="majorBidi"/>
          <w:sz w:val="20"/>
          <w:szCs w:val="20"/>
        </w:rPr>
        <w:t>Definsi operasional adalah dari variab</w:t>
      </w:r>
      <w:r w:rsidRPr="00DD2CFE">
        <w:rPr>
          <w:rFonts w:asciiTheme="majorBidi" w:hAnsiTheme="majorBidi" w:cstheme="majorBidi"/>
          <w:sz w:val="20"/>
          <w:szCs w:val="20"/>
          <w:lang w:val="id-ID"/>
        </w:rPr>
        <w:t xml:space="preserve">el </w:t>
      </w:r>
      <w:r w:rsidRPr="00DD2CFE">
        <w:rPr>
          <w:rFonts w:asciiTheme="majorBidi" w:hAnsiTheme="majorBidi" w:cstheme="majorBidi"/>
          <w:sz w:val="20"/>
          <w:szCs w:val="20"/>
        </w:rPr>
        <w:t xml:space="preserve">- variabel yang digunakan dalam penelitian ini menunjukkan </w:t>
      </w:r>
      <w:proofErr w:type="gramStart"/>
      <w:r w:rsidRPr="00DD2CFE">
        <w:rPr>
          <w:rFonts w:asciiTheme="majorBidi" w:hAnsiTheme="majorBidi" w:cstheme="majorBidi"/>
          <w:sz w:val="20"/>
          <w:szCs w:val="20"/>
        </w:rPr>
        <w:t>cara</w:t>
      </w:r>
      <w:proofErr w:type="gramEnd"/>
      <w:r w:rsidRPr="00DD2CFE">
        <w:rPr>
          <w:rFonts w:asciiTheme="majorBidi" w:hAnsiTheme="majorBidi" w:cstheme="majorBidi"/>
          <w:sz w:val="20"/>
          <w:szCs w:val="20"/>
        </w:rPr>
        <w:t xml:space="preserve"> pengukuran dari masing - masing variabel tersebut. Pengertian dari masing - masing variabel yang digunakan dalam penelitian ini </w:t>
      </w:r>
      <w:proofErr w:type="gramStart"/>
      <w:r w:rsidRPr="00DD2CFE">
        <w:rPr>
          <w:rFonts w:asciiTheme="majorBidi" w:hAnsiTheme="majorBidi" w:cstheme="majorBidi"/>
          <w:sz w:val="20"/>
          <w:szCs w:val="20"/>
        </w:rPr>
        <w:t>adalah :</w:t>
      </w:r>
      <w:proofErr w:type="gramEnd"/>
    </w:p>
    <w:p w:rsidR="00DD2CFE" w:rsidRPr="00DD2CFE" w:rsidRDefault="00DD2CFE" w:rsidP="00DD2CFE">
      <w:pPr>
        <w:widowControl w:val="0"/>
        <w:numPr>
          <w:ilvl w:val="0"/>
          <w:numId w:val="5"/>
        </w:numPr>
        <w:autoSpaceDE w:val="0"/>
        <w:autoSpaceDN w:val="0"/>
        <w:adjustRightInd w:val="0"/>
        <w:spacing w:after="240" w:line="240" w:lineRule="auto"/>
        <w:jc w:val="both"/>
        <w:rPr>
          <w:rFonts w:asciiTheme="majorBidi" w:hAnsiTheme="majorBidi" w:cstheme="majorBidi"/>
          <w:sz w:val="20"/>
          <w:szCs w:val="20"/>
        </w:rPr>
      </w:pPr>
      <w:r w:rsidRPr="00DD2CFE">
        <w:rPr>
          <w:rFonts w:asciiTheme="majorBidi" w:hAnsiTheme="majorBidi" w:cstheme="majorBidi"/>
          <w:sz w:val="20"/>
          <w:szCs w:val="20"/>
        </w:rPr>
        <w:t>Variabel Dependen</w:t>
      </w:r>
    </w:p>
    <w:p w:rsidR="00DD2CFE" w:rsidRPr="00DD2CFE" w:rsidRDefault="00DD2CFE" w:rsidP="00DD2CFE">
      <w:pPr>
        <w:widowControl w:val="0"/>
        <w:autoSpaceDE w:val="0"/>
        <w:autoSpaceDN w:val="0"/>
        <w:adjustRightInd w:val="0"/>
        <w:spacing w:after="240" w:line="240" w:lineRule="auto"/>
        <w:ind w:left="1440"/>
        <w:jc w:val="both"/>
        <w:rPr>
          <w:rFonts w:asciiTheme="majorBidi" w:hAnsiTheme="majorBidi" w:cstheme="majorBidi"/>
          <w:sz w:val="20"/>
          <w:szCs w:val="20"/>
        </w:rPr>
      </w:pPr>
      <w:r w:rsidRPr="00DD2CFE">
        <w:rPr>
          <w:rFonts w:asciiTheme="majorBidi" w:hAnsiTheme="majorBidi" w:cstheme="majorBidi"/>
          <w:i/>
          <w:sz w:val="20"/>
          <w:szCs w:val="20"/>
        </w:rPr>
        <w:t>Return</w:t>
      </w:r>
      <w:r w:rsidRPr="00DD2CFE">
        <w:rPr>
          <w:rFonts w:asciiTheme="majorBidi" w:hAnsiTheme="majorBidi" w:cstheme="majorBidi"/>
          <w:sz w:val="20"/>
          <w:szCs w:val="20"/>
        </w:rPr>
        <w:t xml:space="preserve"> saham adalah tingkat keuntungan yang diperoleh oleh investor atas modal yang diinvestasikannya. </w:t>
      </w:r>
      <w:r w:rsidRPr="00DD2CFE">
        <w:rPr>
          <w:rFonts w:asciiTheme="majorBidi" w:hAnsiTheme="majorBidi" w:cstheme="majorBidi"/>
          <w:i/>
          <w:sz w:val="20"/>
          <w:szCs w:val="20"/>
        </w:rPr>
        <w:t>Return</w:t>
      </w:r>
      <w:r w:rsidRPr="00DD2CFE">
        <w:rPr>
          <w:rFonts w:asciiTheme="majorBidi" w:hAnsiTheme="majorBidi" w:cstheme="majorBidi"/>
          <w:sz w:val="20"/>
          <w:szCs w:val="20"/>
        </w:rPr>
        <w:t xml:space="preserve"> saham merupakan hasil investasi </w:t>
      </w:r>
      <w:proofErr w:type="gramStart"/>
      <w:r w:rsidRPr="00DD2CFE">
        <w:rPr>
          <w:rFonts w:asciiTheme="majorBidi" w:hAnsiTheme="majorBidi" w:cstheme="majorBidi"/>
          <w:sz w:val="20"/>
          <w:szCs w:val="20"/>
        </w:rPr>
        <w:t>surat</w:t>
      </w:r>
      <w:proofErr w:type="gramEnd"/>
      <w:r w:rsidRPr="00DD2CFE">
        <w:rPr>
          <w:rFonts w:asciiTheme="majorBidi" w:hAnsiTheme="majorBidi" w:cstheme="majorBidi"/>
          <w:sz w:val="20"/>
          <w:szCs w:val="20"/>
        </w:rPr>
        <w:t xml:space="preserve"> berharga (saham) yang dapat berupa </w:t>
      </w:r>
      <w:r w:rsidRPr="00DD2CFE">
        <w:rPr>
          <w:rFonts w:asciiTheme="majorBidi" w:hAnsiTheme="majorBidi" w:cstheme="majorBidi"/>
          <w:i/>
          <w:sz w:val="20"/>
          <w:szCs w:val="20"/>
        </w:rPr>
        <w:t>capital gain/loss</w:t>
      </w:r>
      <w:r w:rsidRPr="00DD2CFE">
        <w:rPr>
          <w:rFonts w:asciiTheme="majorBidi" w:hAnsiTheme="majorBidi" w:cstheme="majorBidi"/>
          <w:sz w:val="20"/>
          <w:szCs w:val="20"/>
        </w:rPr>
        <w:t xml:space="preserve"> yaitu selisih antara harga saham saat ini </w:t>
      </w:r>
      <w:r w:rsidRPr="00DD2CFE">
        <w:rPr>
          <w:rFonts w:asciiTheme="majorBidi" w:hAnsiTheme="majorBidi" w:cstheme="majorBidi"/>
          <w:i/>
          <w:sz w:val="20"/>
          <w:szCs w:val="20"/>
        </w:rPr>
        <w:t>(closing price</w:t>
      </w:r>
      <w:r w:rsidRPr="00DD2CFE">
        <w:rPr>
          <w:rFonts w:asciiTheme="majorBidi" w:hAnsiTheme="majorBidi" w:cstheme="majorBidi"/>
          <w:sz w:val="20"/>
          <w:szCs w:val="20"/>
        </w:rPr>
        <w:t xml:space="preserve"> pada periode t) dengan harga saham periode sebelumnya </w:t>
      </w:r>
      <w:r w:rsidRPr="00DD2CFE">
        <w:rPr>
          <w:rFonts w:asciiTheme="majorBidi" w:hAnsiTheme="majorBidi" w:cstheme="majorBidi"/>
          <w:i/>
          <w:sz w:val="20"/>
          <w:szCs w:val="20"/>
        </w:rPr>
        <w:t>(closing price</w:t>
      </w:r>
      <w:r w:rsidRPr="00DD2CFE">
        <w:rPr>
          <w:rFonts w:asciiTheme="majorBidi" w:hAnsiTheme="majorBidi" w:cstheme="majorBidi"/>
          <w:sz w:val="20"/>
          <w:szCs w:val="20"/>
        </w:rPr>
        <w:t xml:space="preserve"> pada periode t-1) dibagi dengan harga saham pada periode sebelumnya </w:t>
      </w:r>
      <w:r w:rsidRPr="00DD2CFE">
        <w:rPr>
          <w:rFonts w:asciiTheme="majorBidi" w:hAnsiTheme="majorBidi" w:cstheme="majorBidi"/>
          <w:i/>
          <w:sz w:val="20"/>
          <w:szCs w:val="20"/>
        </w:rPr>
        <w:t>(closing price</w:t>
      </w:r>
      <w:r w:rsidRPr="00DD2CFE">
        <w:rPr>
          <w:rFonts w:asciiTheme="majorBidi" w:hAnsiTheme="majorBidi" w:cstheme="majorBidi"/>
          <w:sz w:val="20"/>
          <w:szCs w:val="20"/>
        </w:rPr>
        <w:t xml:space="preserve"> pada periode t-1) kemudian dikali 100%.</w:t>
      </w:r>
    </w:p>
    <w:p w:rsidR="00DD2CFE" w:rsidRPr="00DD2CFE" w:rsidRDefault="00DD2CFE" w:rsidP="00DD2CFE">
      <w:pPr>
        <w:widowControl w:val="0"/>
        <w:autoSpaceDE w:val="0"/>
        <w:autoSpaceDN w:val="0"/>
        <w:adjustRightInd w:val="0"/>
        <w:spacing w:after="240" w:line="240" w:lineRule="auto"/>
        <w:ind w:left="1440"/>
        <w:jc w:val="both"/>
        <w:rPr>
          <w:rFonts w:asciiTheme="majorBidi" w:hAnsiTheme="majorBidi" w:cstheme="majorBidi"/>
          <w:sz w:val="20"/>
          <w:szCs w:val="20"/>
        </w:rPr>
      </w:pPr>
      <w:r w:rsidRPr="00DD2CFE">
        <w:rPr>
          <w:rFonts w:asciiTheme="majorBidi" w:hAnsiTheme="majorBidi" w:cstheme="majorBidi"/>
          <w:position w:val="-32"/>
          <w:sz w:val="20"/>
          <w:szCs w:val="2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9pt;height:36.95pt" o:ole="">
            <v:imagedata r:id="rId12" o:title=""/>
          </v:shape>
          <o:OLEObject Type="Embed" ProgID="Equation.3" ShapeID="_x0000_i1025" DrawAspect="Content" ObjectID="_1490422677" r:id="rId13"/>
        </w:object>
      </w:r>
    </w:p>
    <w:p w:rsidR="00DD2CFE" w:rsidRPr="00DD2CFE" w:rsidRDefault="00DD2CFE" w:rsidP="00DD2CFE">
      <w:pPr>
        <w:widowControl w:val="0"/>
        <w:autoSpaceDE w:val="0"/>
        <w:autoSpaceDN w:val="0"/>
        <w:adjustRightInd w:val="0"/>
        <w:spacing w:after="240" w:line="240" w:lineRule="auto"/>
        <w:ind w:firstLine="720"/>
        <w:jc w:val="both"/>
        <w:rPr>
          <w:rFonts w:asciiTheme="majorBidi" w:hAnsiTheme="majorBidi" w:cstheme="majorBidi"/>
          <w:sz w:val="20"/>
          <w:szCs w:val="20"/>
        </w:rPr>
      </w:pPr>
      <w:proofErr w:type="gramStart"/>
      <w:r w:rsidRPr="00DD2CFE">
        <w:rPr>
          <w:rFonts w:asciiTheme="majorBidi" w:hAnsiTheme="majorBidi" w:cstheme="majorBidi"/>
          <w:sz w:val="20"/>
          <w:szCs w:val="20"/>
        </w:rPr>
        <w:t>Dimana :</w:t>
      </w:r>
      <w:proofErr w:type="gramEnd"/>
      <w:r w:rsidRPr="00DD2CFE">
        <w:rPr>
          <w:rFonts w:asciiTheme="majorBidi" w:hAnsiTheme="majorBidi" w:cstheme="majorBidi"/>
          <w:sz w:val="20"/>
          <w:szCs w:val="20"/>
        </w:rPr>
        <w:tab/>
        <w:t>P</w:t>
      </w:r>
      <w:r w:rsidRPr="00DD2CFE">
        <w:rPr>
          <w:rFonts w:asciiTheme="majorBidi" w:hAnsiTheme="majorBidi" w:cstheme="majorBidi"/>
          <w:sz w:val="20"/>
          <w:szCs w:val="20"/>
          <w:vertAlign w:val="subscript"/>
        </w:rPr>
        <w:t>it</w:t>
      </w:r>
      <w:r w:rsidRPr="00DD2CFE">
        <w:rPr>
          <w:rFonts w:asciiTheme="majorBidi" w:hAnsiTheme="majorBidi" w:cstheme="majorBidi"/>
          <w:sz w:val="20"/>
          <w:szCs w:val="20"/>
        </w:rPr>
        <w:t xml:space="preserve">  = harga saham pada periode t</w:t>
      </w:r>
    </w:p>
    <w:p w:rsidR="00DD2CFE" w:rsidRPr="00DD2CFE" w:rsidRDefault="00DD2CFE" w:rsidP="00DD2CFE">
      <w:pPr>
        <w:widowControl w:val="0"/>
        <w:autoSpaceDE w:val="0"/>
        <w:autoSpaceDN w:val="0"/>
        <w:adjustRightInd w:val="0"/>
        <w:spacing w:after="240" w:line="240" w:lineRule="auto"/>
        <w:jc w:val="both"/>
        <w:rPr>
          <w:rFonts w:asciiTheme="majorBidi" w:hAnsiTheme="majorBidi" w:cstheme="majorBidi"/>
          <w:sz w:val="20"/>
          <w:szCs w:val="20"/>
        </w:rPr>
      </w:pPr>
      <w:r w:rsidRPr="00DD2CFE">
        <w:rPr>
          <w:rFonts w:asciiTheme="majorBidi" w:hAnsiTheme="majorBidi" w:cstheme="majorBidi"/>
          <w:sz w:val="20"/>
          <w:szCs w:val="20"/>
        </w:rPr>
        <w:tab/>
      </w:r>
      <w:r w:rsidRPr="00DD2CFE">
        <w:rPr>
          <w:rFonts w:asciiTheme="majorBidi" w:hAnsiTheme="majorBidi" w:cstheme="majorBidi"/>
          <w:sz w:val="20"/>
          <w:szCs w:val="20"/>
        </w:rPr>
        <w:tab/>
      </w:r>
      <w:r w:rsidRPr="00DD2CFE">
        <w:rPr>
          <w:rFonts w:asciiTheme="majorBidi" w:hAnsiTheme="majorBidi" w:cstheme="majorBidi"/>
          <w:sz w:val="20"/>
          <w:szCs w:val="20"/>
        </w:rPr>
        <w:tab/>
        <w:t>P</w:t>
      </w:r>
      <w:r w:rsidRPr="00DD2CFE">
        <w:rPr>
          <w:rFonts w:asciiTheme="majorBidi" w:hAnsiTheme="majorBidi" w:cstheme="majorBidi"/>
          <w:sz w:val="20"/>
          <w:szCs w:val="20"/>
          <w:vertAlign w:val="subscript"/>
        </w:rPr>
        <w:t>i</w:t>
      </w:r>
      <w:proofErr w:type="gramStart"/>
      <w:r w:rsidRPr="00DD2CFE">
        <w:rPr>
          <w:rFonts w:asciiTheme="majorBidi" w:hAnsiTheme="majorBidi" w:cstheme="majorBidi"/>
          <w:sz w:val="20"/>
          <w:szCs w:val="20"/>
          <w:vertAlign w:val="subscript"/>
        </w:rPr>
        <w:t>,t</w:t>
      </w:r>
      <w:proofErr w:type="gramEnd"/>
      <w:r w:rsidRPr="00DD2CFE">
        <w:rPr>
          <w:rFonts w:asciiTheme="majorBidi" w:hAnsiTheme="majorBidi" w:cstheme="majorBidi"/>
          <w:sz w:val="20"/>
          <w:szCs w:val="20"/>
          <w:vertAlign w:val="subscript"/>
        </w:rPr>
        <w:t xml:space="preserve"> - 1</w:t>
      </w:r>
      <w:r w:rsidRPr="00DD2CFE">
        <w:rPr>
          <w:rFonts w:asciiTheme="majorBidi" w:hAnsiTheme="majorBidi" w:cstheme="majorBidi"/>
          <w:sz w:val="20"/>
          <w:szCs w:val="20"/>
        </w:rPr>
        <w:t xml:space="preserve"> = harga saham pada periode t-1</w:t>
      </w:r>
    </w:p>
    <w:p w:rsidR="00DD2CFE" w:rsidRPr="00DD2CFE" w:rsidRDefault="00DD2CFE" w:rsidP="00DD2CFE">
      <w:pPr>
        <w:widowControl w:val="0"/>
        <w:numPr>
          <w:ilvl w:val="0"/>
          <w:numId w:val="5"/>
        </w:numPr>
        <w:autoSpaceDE w:val="0"/>
        <w:autoSpaceDN w:val="0"/>
        <w:adjustRightInd w:val="0"/>
        <w:spacing w:after="240" w:line="240" w:lineRule="auto"/>
        <w:jc w:val="both"/>
        <w:rPr>
          <w:rFonts w:asciiTheme="majorBidi" w:hAnsiTheme="majorBidi" w:cstheme="majorBidi"/>
          <w:sz w:val="20"/>
          <w:szCs w:val="20"/>
        </w:rPr>
      </w:pPr>
      <w:r w:rsidRPr="00DD2CFE">
        <w:rPr>
          <w:rFonts w:asciiTheme="majorBidi" w:hAnsiTheme="majorBidi" w:cstheme="majorBidi"/>
          <w:sz w:val="20"/>
          <w:szCs w:val="20"/>
        </w:rPr>
        <w:t>Variabel Independen</w:t>
      </w:r>
    </w:p>
    <w:p w:rsidR="00DD2CFE" w:rsidRPr="00DD2CFE" w:rsidRDefault="00DD2CFE" w:rsidP="00DD2CFE">
      <w:pPr>
        <w:widowControl w:val="0"/>
        <w:numPr>
          <w:ilvl w:val="0"/>
          <w:numId w:val="6"/>
        </w:numPr>
        <w:autoSpaceDE w:val="0"/>
        <w:autoSpaceDN w:val="0"/>
        <w:adjustRightInd w:val="0"/>
        <w:spacing w:after="240" w:line="240" w:lineRule="auto"/>
        <w:jc w:val="both"/>
        <w:rPr>
          <w:rFonts w:asciiTheme="majorBidi" w:hAnsiTheme="majorBidi" w:cstheme="majorBidi"/>
          <w:sz w:val="20"/>
          <w:szCs w:val="20"/>
        </w:rPr>
      </w:pPr>
      <w:r w:rsidRPr="00DD2CFE">
        <w:rPr>
          <w:rFonts w:asciiTheme="majorBidi" w:hAnsiTheme="majorBidi" w:cstheme="majorBidi"/>
          <w:sz w:val="20"/>
          <w:szCs w:val="20"/>
        </w:rPr>
        <w:t xml:space="preserve">Inflasi </w:t>
      </w:r>
    </w:p>
    <w:p w:rsidR="00DD2CFE" w:rsidRPr="00DD2CFE" w:rsidRDefault="00DD2CFE" w:rsidP="00DD2CFE">
      <w:pPr>
        <w:widowControl w:val="0"/>
        <w:autoSpaceDE w:val="0"/>
        <w:autoSpaceDN w:val="0"/>
        <w:adjustRightInd w:val="0"/>
        <w:spacing w:after="240" w:line="240" w:lineRule="auto"/>
        <w:ind w:left="720"/>
        <w:jc w:val="both"/>
        <w:rPr>
          <w:rFonts w:asciiTheme="majorBidi" w:hAnsiTheme="majorBidi" w:cstheme="majorBidi"/>
          <w:sz w:val="20"/>
          <w:szCs w:val="20"/>
        </w:rPr>
      </w:pPr>
      <w:r w:rsidRPr="00DD2CFE">
        <w:rPr>
          <w:rFonts w:asciiTheme="majorBidi" w:hAnsiTheme="majorBidi" w:cstheme="majorBidi"/>
          <w:sz w:val="20"/>
          <w:szCs w:val="20"/>
        </w:rPr>
        <w:t>Inflasi merupakan dimana harga – harga barang dan jasa secara umum naik secara terus – menerus atau menurunnya daya beli uang. Data inflasi dikeluarkan oleh Bank Indonesia.</w:t>
      </w:r>
    </w:p>
    <w:p w:rsidR="00DD2CFE" w:rsidRPr="00DD2CFE" w:rsidRDefault="00DD2CFE" w:rsidP="00DD2CFE">
      <w:pPr>
        <w:widowControl w:val="0"/>
        <w:numPr>
          <w:ilvl w:val="0"/>
          <w:numId w:val="6"/>
        </w:numPr>
        <w:autoSpaceDE w:val="0"/>
        <w:autoSpaceDN w:val="0"/>
        <w:adjustRightInd w:val="0"/>
        <w:spacing w:after="240" w:line="240" w:lineRule="auto"/>
        <w:jc w:val="both"/>
        <w:rPr>
          <w:rFonts w:asciiTheme="majorBidi" w:hAnsiTheme="majorBidi" w:cstheme="majorBidi"/>
          <w:sz w:val="20"/>
          <w:szCs w:val="20"/>
        </w:rPr>
      </w:pPr>
      <w:r w:rsidRPr="00DD2CFE">
        <w:rPr>
          <w:rFonts w:asciiTheme="majorBidi" w:hAnsiTheme="majorBidi" w:cstheme="majorBidi"/>
          <w:sz w:val="20"/>
          <w:szCs w:val="20"/>
        </w:rPr>
        <w:t>Nilai Tukar (kurs)</w:t>
      </w:r>
    </w:p>
    <w:p w:rsidR="00DD2CFE" w:rsidRPr="00DD2CFE" w:rsidRDefault="00DD2CFE" w:rsidP="00DD2CFE">
      <w:pPr>
        <w:autoSpaceDE w:val="0"/>
        <w:autoSpaceDN w:val="0"/>
        <w:adjustRightInd w:val="0"/>
        <w:spacing w:line="240" w:lineRule="auto"/>
        <w:ind w:left="1080"/>
        <w:jc w:val="both"/>
        <w:rPr>
          <w:rFonts w:asciiTheme="majorBidi" w:hAnsiTheme="majorBidi" w:cstheme="majorBidi"/>
          <w:sz w:val="20"/>
          <w:szCs w:val="20"/>
        </w:rPr>
      </w:pPr>
      <w:r w:rsidRPr="00DD2CFE">
        <w:rPr>
          <w:rFonts w:asciiTheme="majorBidi" w:hAnsiTheme="majorBidi" w:cstheme="majorBidi"/>
          <w:sz w:val="20"/>
          <w:szCs w:val="20"/>
        </w:rPr>
        <w:t>Kurs adalah harga nilai tukar rupiah terhadap dollar Amerika. Kurs yang digunakan adalah kurs tengah rupiah terhadap dollar Amerika Serikat yang dikeluarkan oleh Bank Indonesia.</w:t>
      </w:r>
    </w:p>
    <w:p w:rsidR="00DD2CFE" w:rsidRPr="00DD2CFE" w:rsidRDefault="00DD2CFE" w:rsidP="00DD2CFE">
      <w:pPr>
        <w:numPr>
          <w:ilvl w:val="0"/>
          <w:numId w:val="6"/>
        </w:numPr>
        <w:autoSpaceDE w:val="0"/>
        <w:autoSpaceDN w:val="0"/>
        <w:adjustRightInd w:val="0"/>
        <w:spacing w:after="0" w:line="240" w:lineRule="auto"/>
        <w:jc w:val="both"/>
        <w:rPr>
          <w:rFonts w:asciiTheme="majorBidi" w:hAnsiTheme="majorBidi" w:cstheme="majorBidi"/>
          <w:sz w:val="20"/>
          <w:szCs w:val="20"/>
        </w:rPr>
      </w:pPr>
      <w:r w:rsidRPr="00DD2CFE">
        <w:rPr>
          <w:rFonts w:asciiTheme="majorBidi" w:hAnsiTheme="majorBidi" w:cstheme="majorBidi"/>
          <w:sz w:val="20"/>
          <w:szCs w:val="20"/>
        </w:rPr>
        <w:t xml:space="preserve">BI </w:t>
      </w:r>
      <w:r w:rsidRPr="00DD2CFE">
        <w:rPr>
          <w:rFonts w:asciiTheme="majorBidi" w:hAnsiTheme="majorBidi" w:cstheme="majorBidi"/>
          <w:i/>
          <w:sz w:val="20"/>
          <w:szCs w:val="20"/>
        </w:rPr>
        <w:t>Rate</w:t>
      </w:r>
    </w:p>
    <w:p w:rsidR="00DD2CFE" w:rsidRPr="00DD2CFE" w:rsidRDefault="00DD2CFE" w:rsidP="00DD2CFE">
      <w:pPr>
        <w:autoSpaceDE w:val="0"/>
        <w:autoSpaceDN w:val="0"/>
        <w:adjustRightInd w:val="0"/>
        <w:spacing w:line="240" w:lineRule="auto"/>
        <w:ind w:left="993"/>
        <w:jc w:val="both"/>
        <w:rPr>
          <w:rFonts w:asciiTheme="majorBidi" w:hAnsiTheme="majorBidi" w:cstheme="majorBidi"/>
          <w:sz w:val="20"/>
          <w:szCs w:val="20"/>
        </w:rPr>
      </w:pPr>
      <w:r w:rsidRPr="00DD2CFE">
        <w:rPr>
          <w:rFonts w:asciiTheme="majorBidi" w:hAnsiTheme="majorBidi" w:cstheme="majorBidi"/>
          <w:sz w:val="20"/>
          <w:szCs w:val="20"/>
        </w:rPr>
        <w:lastRenderedPageBreak/>
        <w:t xml:space="preserve">Tingkat suku bunga merupakan pengembalian atas sejumlah investasi sebagai bentuk imbalan yang diberikan kepada investor. Tingkat suku bunga diukur melalui tingkat suku bunga acuan yaitu BI </w:t>
      </w:r>
      <w:r w:rsidRPr="00DD2CFE">
        <w:rPr>
          <w:rFonts w:asciiTheme="majorBidi" w:hAnsiTheme="majorBidi" w:cstheme="majorBidi"/>
          <w:i/>
          <w:sz w:val="20"/>
          <w:szCs w:val="20"/>
        </w:rPr>
        <w:t>rate</w:t>
      </w:r>
      <w:r w:rsidRPr="00DD2CFE">
        <w:rPr>
          <w:rFonts w:asciiTheme="majorBidi" w:hAnsiTheme="majorBidi" w:cstheme="majorBidi"/>
          <w:sz w:val="20"/>
          <w:szCs w:val="20"/>
        </w:rPr>
        <w:t>.</w:t>
      </w:r>
    </w:p>
    <w:p w:rsidR="00DD2CFE" w:rsidRPr="00DD2CFE" w:rsidRDefault="00DD2CFE" w:rsidP="00DD2CFE">
      <w:pPr>
        <w:numPr>
          <w:ilvl w:val="0"/>
          <w:numId w:val="6"/>
        </w:numPr>
        <w:autoSpaceDE w:val="0"/>
        <w:autoSpaceDN w:val="0"/>
        <w:adjustRightInd w:val="0"/>
        <w:spacing w:after="0" w:line="240" w:lineRule="auto"/>
        <w:jc w:val="both"/>
        <w:rPr>
          <w:rFonts w:asciiTheme="majorBidi" w:hAnsiTheme="majorBidi" w:cstheme="majorBidi"/>
          <w:sz w:val="20"/>
          <w:szCs w:val="20"/>
        </w:rPr>
      </w:pPr>
      <w:r w:rsidRPr="00DD2CFE">
        <w:rPr>
          <w:rFonts w:asciiTheme="majorBidi" w:hAnsiTheme="majorBidi" w:cstheme="majorBidi"/>
          <w:sz w:val="20"/>
          <w:szCs w:val="20"/>
        </w:rPr>
        <w:t>Pertumbuhan Ekonomi</w:t>
      </w:r>
    </w:p>
    <w:p w:rsidR="00DD2CFE" w:rsidRPr="00DD2CFE" w:rsidRDefault="00DD2CFE" w:rsidP="00DD2CFE">
      <w:pPr>
        <w:autoSpaceDE w:val="0"/>
        <w:autoSpaceDN w:val="0"/>
        <w:adjustRightInd w:val="0"/>
        <w:spacing w:line="240" w:lineRule="auto"/>
        <w:ind w:left="993"/>
        <w:jc w:val="both"/>
        <w:rPr>
          <w:rFonts w:asciiTheme="majorBidi" w:hAnsiTheme="majorBidi" w:cstheme="majorBidi"/>
          <w:sz w:val="20"/>
          <w:szCs w:val="20"/>
        </w:rPr>
      </w:pPr>
      <w:r w:rsidRPr="00DD2CFE">
        <w:rPr>
          <w:rFonts w:asciiTheme="majorBidi" w:hAnsiTheme="majorBidi" w:cstheme="majorBidi"/>
          <w:sz w:val="20"/>
          <w:szCs w:val="20"/>
        </w:rPr>
        <w:t>Pertumbuhan ekonomi adalah suatu proses kenaikan output perkapita dalam jangka panjang. Dalam hal pertumbuhan ekonomi adanya unsur perubahan dan perkembangan. Pertumbuhan ekonomi diukur dengan perkembangan produk domestik bruto (PDB).</w:t>
      </w:r>
    </w:p>
    <w:p w:rsidR="00A45F97" w:rsidRPr="00A45F97" w:rsidRDefault="00A45F97" w:rsidP="00A45F97">
      <w:pPr>
        <w:pStyle w:val="Heading3"/>
        <w:numPr>
          <w:ilvl w:val="0"/>
          <w:numId w:val="4"/>
        </w:numPr>
        <w:ind w:left="270" w:hanging="270"/>
        <w:rPr>
          <w:rFonts w:asciiTheme="majorBidi" w:hAnsiTheme="majorBidi" w:cstheme="majorBidi"/>
          <w:sz w:val="20"/>
          <w:szCs w:val="20"/>
        </w:rPr>
      </w:pPr>
      <w:bookmarkStart w:id="17" w:name="_Toc287470676"/>
      <w:bookmarkStart w:id="18" w:name="_Toc414709759"/>
      <w:r w:rsidRPr="00A45F97">
        <w:rPr>
          <w:rFonts w:asciiTheme="majorBidi" w:hAnsiTheme="majorBidi" w:cstheme="majorBidi"/>
          <w:sz w:val="20"/>
          <w:szCs w:val="20"/>
        </w:rPr>
        <w:t xml:space="preserve">Estimasi </w:t>
      </w:r>
      <w:r w:rsidRPr="00A45F97">
        <w:rPr>
          <w:rFonts w:asciiTheme="majorBidi" w:hAnsiTheme="majorBidi" w:cstheme="majorBidi"/>
          <w:i/>
          <w:iCs/>
          <w:sz w:val="20"/>
          <w:szCs w:val="20"/>
        </w:rPr>
        <w:t>Error Correction Model</w:t>
      </w:r>
      <w:r w:rsidRPr="00A45F97">
        <w:rPr>
          <w:rFonts w:asciiTheme="majorBidi" w:hAnsiTheme="majorBidi" w:cstheme="majorBidi"/>
          <w:sz w:val="20"/>
          <w:szCs w:val="20"/>
        </w:rPr>
        <w:t xml:space="preserve"> (ECM)</w:t>
      </w:r>
      <w:bookmarkEnd w:id="17"/>
      <w:bookmarkEnd w:id="18"/>
    </w:p>
    <w:p w:rsidR="00A45F97" w:rsidRPr="00A45F97" w:rsidRDefault="00A45F97" w:rsidP="00A45F97">
      <w:pPr>
        <w:spacing w:line="240" w:lineRule="auto"/>
        <w:ind w:firstLine="720"/>
        <w:jc w:val="both"/>
        <w:rPr>
          <w:rFonts w:asciiTheme="majorBidi" w:hAnsiTheme="majorBidi" w:cstheme="majorBidi"/>
          <w:color w:val="000000"/>
          <w:sz w:val="20"/>
          <w:szCs w:val="20"/>
        </w:rPr>
      </w:pPr>
      <w:r w:rsidRPr="00A45F97">
        <w:rPr>
          <w:rFonts w:asciiTheme="majorBidi" w:hAnsiTheme="majorBidi" w:cstheme="majorBidi"/>
          <w:color w:val="000000"/>
          <w:sz w:val="20"/>
          <w:szCs w:val="20"/>
        </w:rPr>
        <w:t xml:space="preserve">Model </w:t>
      </w:r>
      <w:r w:rsidRPr="00A45F97">
        <w:rPr>
          <w:rFonts w:asciiTheme="majorBidi" w:hAnsiTheme="majorBidi" w:cstheme="majorBidi"/>
          <w:i/>
          <w:iCs/>
          <w:color w:val="000000"/>
          <w:sz w:val="20"/>
          <w:szCs w:val="20"/>
        </w:rPr>
        <w:t xml:space="preserve">Error Correction Model </w:t>
      </w:r>
      <w:r w:rsidRPr="00A45F97">
        <w:rPr>
          <w:rFonts w:asciiTheme="majorBidi" w:hAnsiTheme="majorBidi" w:cstheme="majorBidi"/>
          <w:color w:val="000000"/>
          <w:sz w:val="20"/>
          <w:szCs w:val="20"/>
        </w:rPr>
        <w:t xml:space="preserve">(ECM) bertujuan untuk mencari keseimbangan jangka pendek atau mengkoreksi ketidakseimbangan jangka pendek menuju keseimbangan jangka panjang. </w:t>
      </w:r>
      <w:r w:rsidRPr="00A45F97">
        <w:rPr>
          <w:rFonts w:asciiTheme="majorBidi" w:hAnsiTheme="majorBidi" w:cstheme="majorBidi"/>
          <w:sz w:val="20"/>
          <w:szCs w:val="20"/>
        </w:rPr>
        <w:t xml:space="preserve">Dalam analisis ekonomi, </w:t>
      </w:r>
      <w:r w:rsidRPr="00A45F97">
        <w:rPr>
          <w:rFonts w:asciiTheme="majorBidi" w:hAnsiTheme="majorBidi" w:cstheme="majorBidi"/>
          <w:i/>
          <w:sz w:val="20"/>
          <w:szCs w:val="20"/>
        </w:rPr>
        <w:t>Error Correction Model</w:t>
      </w:r>
      <w:r w:rsidRPr="00A45F97">
        <w:rPr>
          <w:rFonts w:asciiTheme="majorBidi" w:hAnsiTheme="majorBidi" w:cstheme="majorBidi"/>
          <w:sz w:val="20"/>
          <w:szCs w:val="20"/>
        </w:rPr>
        <w:t xml:space="preserve"> (ECM) dapat digunakan untuk menjelaskan adanya ketidakseimbangan (</w:t>
      </w:r>
      <w:r w:rsidRPr="00A45F97">
        <w:rPr>
          <w:rFonts w:asciiTheme="majorBidi" w:hAnsiTheme="majorBidi" w:cstheme="majorBidi"/>
          <w:i/>
          <w:sz w:val="20"/>
          <w:szCs w:val="20"/>
        </w:rPr>
        <w:t>disequilibrium</w:t>
      </w:r>
      <w:r w:rsidRPr="00A45F97">
        <w:rPr>
          <w:rFonts w:asciiTheme="majorBidi" w:hAnsiTheme="majorBidi" w:cstheme="majorBidi"/>
          <w:sz w:val="20"/>
          <w:szCs w:val="20"/>
        </w:rPr>
        <w:t xml:space="preserve">) dimana fenomena yang diinginkan tidak sesuai dengan kenyataan. </w:t>
      </w:r>
      <w:r w:rsidRPr="00A45F97">
        <w:rPr>
          <w:rFonts w:asciiTheme="majorBidi" w:hAnsiTheme="majorBidi" w:cstheme="majorBidi"/>
          <w:color w:val="000000"/>
          <w:sz w:val="20"/>
          <w:szCs w:val="20"/>
        </w:rPr>
        <w:t xml:space="preserve">ECM mempunya ciri dimana dimasukannya unsur </w:t>
      </w:r>
      <w:r w:rsidRPr="00A45F97">
        <w:rPr>
          <w:rFonts w:asciiTheme="majorBidi" w:hAnsiTheme="majorBidi" w:cstheme="majorBidi"/>
          <w:i/>
          <w:iCs/>
          <w:color w:val="000000"/>
          <w:sz w:val="20"/>
          <w:szCs w:val="20"/>
        </w:rPr>
        <w:t xml:space="preserve">Error Correction Term </w:t>
      </w:r>
      <w:r w:rsidRPr="00A45F97">
        <w:rPr>
          <w:rFonts w:asciiTheme="majorBidi" w:hAnsiTheme="majorBidi" w:cstheme="majorBidi"/>
          <w:color w:val="000000"/>
          <w:sz w:val="20"/>
          <w:szCs w:val="20"/>
        </w:rPr>
        <w:t xml:space="preserve">(ECT) dalam model. Apabila koefisien pada ECT signifikan secara statistik, maka spesifikasi model yang digunakan dalam penelitian tersebut adalah baik. Setelah spesifikasi model valid, dilanjutkan pengujian variabel independen terhadap variabel dependen secara parsial. Dari penjelasan tersebut, maka dapat persamaan ECM yang sesuai, </w:t>
      </w:r>
      <w:proofErr w:type="gramStart"/>
      <w:r w:rsidRPr="00A45F97">
        <w:rPr>
          <w:rFonts w:asciiTheme="majorBidi" w:hAnsiTheme="majorBidi" w:cstheme="majorBidi"/>
          <w:color w:val="000000"/>
          <w:sz w:val="20"/>
          <w:szCs w:val="20"/>
        </w:rPr>
        <w:t>yaitu :</w:t>
      </w:r>
      <w:proofErr w:type="gramEnd"/>
    </w:p>
    <w:p w:rsidR="00A45F97" w:rsidRPr="00A45F97" w:rsidRDefault="00A45F97" w:rsidP="00A45F97">
      <w:pPr>
        <w:spacing w:line="240" w:lineRule="auto"/>
        <w:jc w:val="both"/>
        <w:rPr>
          <w:rFonts w:asciiTheme="majorBidi" w:hAnsiTheme="majorBidi" w:cstheme="majorBidi"/>
          <w:sz w:val="20"/>
          <w:szCs w:val="20"/>
        </w:rPr>
      </w:pPr>
      <w:r w:rsidRPr="00A45F97">
        <w:rPr>
          <w:rFonts w:asciiTheme="majorBidi" w:hAnsiTheme="majorBidi" w:cstheme="majorBidi"/>
          <w:position w:val="-12"/>
          <w:sz w:val="20"/>
          <w:szCs w:val="20"/>
        </w:rPr>
        <w:object w:dxaOrig="7520" w:dyaOrig="340">
          <v:shape id="_x0000_i1026" type="#_x0000_t75" style="width:375.65pt;height:18.15pt" o:ole="">
            <v:imagedata r:id="rId14" o:title=""/>
          </v:shape>
          <o:OLEObject Type="Embed" ProgID="Equation.3" ShapeID="_x0000_i1026" DrawAspect="Content" ObjectID="_1490422678" r:id="rId15"/>
        </w:object>
      </w:r>
    </w:p>
    <w:p w:rsidR="00A45F97" w:rsidRPr="00A45F97" w:rsidRDefault="00A45F97" w:rsidP="00A45F97">
      <w:pPr>
        <w:spacing w:line="240" w:lineRule="auto"/>
        <w:jc w:val="both"/>
        <w:rPr>
          <w:rFonts w:asciiTheme="majorBidi" w:hAnsiTheme="majorBidi" w:cstheme="majorBidi"/>
          <w:sz w:val="20"/>
          <w:szCs w:val="20"/>
        </w:rPr>
      </w:pPr>
      <w:proofErr w:type="gramStart"/>
      <w:r w:rsidRPr="00A45F97">
        <w:rPr>
          <w:rFonts w:asciiTheme="majorBidi" w:hAnsiTheme="majorBidi" w:cstheme="majorBidi"/>
          <w:sz w:val="20"/>
          <w:szCs w:val="20"/>
        </w:rPr>
        <w:t>Keterangan :</w:t>
      </w:r>
      <w:proofErr w:type="gramEnd"/>
    </w:p>
    <w:p w:rsidR="00A45F97" w:rsidRPr="00A45F97" w:rsidRDefault="00A45F97" w:rsidP="00A45F97">
      <w:pPr>
        <w:spacing w:line="240" w:lineRule="auto"/>
        <w:jc w:val="both"/>
        <w:rPr>
          <w:rFonts w:asciiTheme="majorBidi" w:hAnsiTheme="majorBidi" w:cstheme="majorBidi"/>
          <w:sz w:val="20"/>
          <w:szCs w:val="20"/>
        </w:rPr>
      </w:pPr>
      <w:r w:rsidRPr="00A45F97">
        <w:rPr>
          <w:rFonts w:asciiTheme="majorBidi" w:hAnsiTheme="majorBidi" w:cstheme="majorBidi"/>
          <w:sz w:val="20"/>
          <w:szCs w:val="20"/>
        </w:rPr>
        <w:t>Return</w:t>
      </w:r>
      <w:r w:rsidRPr="00A45F97">
        <w:rPr>
          <w:rFonts w:asciiTheme="majorBidi" w:hAnsiTheme="majorBidi" w:cstheme="majorBidi"/>
          <w:sz w:val="20"/>
          <w:szCs w:val="20"/>
          <w:vertAlign w:val="subscript"/>
        </w:rPr>
        <w:t>t</w:t>
      </w:r>
      <w:r w:rsidRPr="00A45F97">
        <w:rPr>
          <w:rFonts w:asciiTheme="majorBidi" w:hAnsiTheme="majorBidi" w:cstheme="majorBidi"/>
          <w:sz w:val="20"/>
          <w:szCs w:val="20"/>
        </w:rPr>
        <w:t xml:space="preserve"> = return pada periode ke – t</w:t>
      </w:r>
    </w:p>
    <w:p w:rsidR="00A45F97" w:rsidRPr="00A45F97" w:rsidRDefault="00A45F97" w:rsidP="00A45F97">
      <w:pPr>
        <w:spacing w:line="240" w:lineRule="auto"/>
        <w:jc w:val="both"/>
        <w:rPr>
          <w:rFonts w:asciiTheme="majorBidi" w:hAnsiTheme="majorBidi" w:cstheme="majorBidi"/>
          <w:sz w:val="20"/>
          <w:szCs w:val="20"/>
        </w:rPr>
      </w:pPr>
      <w:r w:rsidRPr="00A45F97">
        <w:rPr>
          <w:rFonts w:asciiTheme="majorBidi" w:hAnsiTheme="majorBidi" w:cstheme="majorBidi"/>
          <w:sz w:val="20"/>
          <w:szCs w:val="20"/>
        </w:rPr>
        <w:t>INF</w:t>
      </w:r>
      <w:r w:rsidRPr="00A45F97">
        <w:rPr>
          <w:rFonts w:asciiTheme="majorBidi" w:hAnsiTheme="majorBidi" w:cstheme="majorBidi"/>
          <w:sz w:val="20"/>
          <w:szCs w:val="20"/>
          <w:vertAlign w:val="subscript"/>
        </w:rPr>
        <w:t>t</w:t>
      </w:r>
      <w:r w:rsidRPr="00A45F97">
        <w:rPr>
          <w:rFonts w:asciiTheme="majorBidi" w:hAnsiTheme="majorBidi" w:cstheme="majorBidi"/>
          <w:sz w:val="20"/>
          <w:szCs w:val="20"/>
        </w:rPr>
        <w:t xml:space="preserve"> = inflasi pada periode ke – t</w:t>
      </w:r>
    </w:p>
    <w:p w:rsidR="00A45F97" w:rsidRPr="00A45F97" w:rsidRDefault="00A45F97" w:rsidP="00A45F97">
      <w:pPr>
        <w:spacing w:line="240" w:lineRule="auto"/>
        <w:jc w:val="both"/>
        <w:rPr>
          <w:rFonts w:asciiTheme="majorBidi" w:hAnsiTheme="majorBidi" w:cstheme="majorBidi"/>
          <w:sz w:val="20"/>
          <w:szCs w:val="20"/>
        </w:rPr>
      </w:pPr>
      <w:r w:rsidRPr="00A45F97">
        <w:rPr>
          <w:rFonts w:asciiTheme="majorBidi" w:hAnsiTheme="majorBidi" w:cstheme="majorBidi"/>
          <w:sz w:val="20"/>
          <w:szCs w:val="20"/>
        </w:rPr>
        <w:t>NT</w:t>
      </w:r>
      <w:r w:rsidRPr="00A45F97">
        <w:rPr>
          <w:rFonts w:asciiTheme="majorBidi" w:hAnsiTheme="majorBidi" w:cstheme="majorBidi"/>
          <w:sz w:val="20"/>
          <w:szCs w:val="20"/>
          <w:vertAlign w:val="subscript"/>
        </w:rPr>
        <w:t>t</w:t>
      </w:r>
      <w:r w:rsidRPr="00A45F97">
        <w:rPr>
          <w:rFonts w:asciiTheme="majorBidi" w:hAnsiTheme="majorBidi" w:cstheme="majorBidi"/>
          <w:sz w:val="20"/>
          <w:szCs w:val="20"/>
        </w:rPr>
        <w:t xml:space="preserve"> = nilai tukar pada periode ke – t</w:t>
      </w:r>
    </w:p>
    <w:p w:rsidR="00A45F97" w:rsidRPr="00A45F97" w:rsidRDefault="00A45F97" w:rsidP="00A45F97">
      <w:pPr>
        <w:spacing w:line="240" w:lineRule="auto"/>
        <w:jc w:val="both"/>
        <w:rPr>
          <w:rFonts w:asciiTheme="majorBidi" w:hAnsiTheme="majorBidi" w:cstheme="majorBidi"/>
          <w:sz w:val="20"/>
          <w:szCs w:val="20"/>
        </w:rPr>
      </w:pPr>
      <w:r w:rsidRPr="00A45F97">
        <w:rPr>
          <w:rFonts w:asciiTheme="majorBidi" w:hAnsiTheme="majorBidi" w:cstheme="majorBidi"/>
          <w:sz w:val="20"/>
          <w:szCs w:val="20"/>
        </w:rPr>
        <w:t>BI rate</w:t>
      </w:r>
      <w:r w:rsidRPr="00A45F97">
        <w:rPr>
          <w:rFonts w:asciiTheme="majorBidi" w:hAnsiTheme="majorBidi" w:cstheme="majorBidi"/>
          <w:sz w:val="20"/>
          <w:szCs w:val="20"/>
          <w:vertAlign w:val="subscript"/>
        </w:rPr>
        <w:t>t</w:t>
      </w:r>
      <w:r w:rsidRPr="00A45F97">
        <w:rPr>
          <w:rFonts w:asciiTheme="majorBidi" w:hAnsiTheme="majorBidi" w:cstheme="majorBidi"/>
          <w:sz w:val="20"/>
          <w:szCs w:val="20"/>
        </w:rPr>
        <w:t xml:space="preserve"> = suku bunga pada periode ke – t</w:t>
      </w:r>
    </w:p>
    <w:p w:rsidR="00A45F97" w:rsidRPr="00A45F97" w:rsidRDefault="00A45F97" w:rsidP="00A45F97">
      <w:pPr>
        <w:spacing w:line="240" w:lineRule="auto"/>
        <w:jc w:val="both"/>
        <w:rPr>
          <w:rFonts w:asciiTheme="majorBidi" w:hAnsiTheme="majorBidi" w:cstheme="majorBidi"/>
          <w:sz w:val="20"/>
          <w:szCs w:val="20"/>
        </w:rPr>
      </w:pPr>
      <w:r w:rsidRPr="00A45F97">
        <w:rPr>
          <w:rFonts w:asciiTheme="majorBidi" w:hAnsiTheme="majorBidi" w:cstheme="majorBidi"/>
          <w:sz w:val="20"/>
          <w:szCs w:val="20"/>
        </w:rPr>
        <w:t>PE</w:t>
      </w:r>
      <w:r w:rsidRPr="00A45F97">
        <w:rPr>
          <w:rFonts w:asciiTheme="majorBidi" w:hAnsiTheme="majorBidi" w:cstheme="majorBidi"/>
          <w:sz w:val="20"/>
          <w:szCs w:val="20"/>
          <w:vertAlign w:val="subscript"/>
        </w:rPr>
        <w:t>t</w:t>
      </w:r>
      <w:r w:rsidRPr="00A45F97">
        <w:rPr>
          <w:rFonts w:asciiTheme="majorBidi" w:hAnsiTheme="majorBidi" w:cstheme="majorBidi"/>
          <w:sz w:val="20"/>
          <w:szCs w:val="20"/>
        </w:rPr>
        <w:t xml:space="preserve"> = pertumbuhan ekonomi pada periode ke – t</w:t>
      </w:r>
    </w:p>
    <w:p w:rsidR="00A45F97" w:rsidRPr="00A45F97" w:rsidRDefault="00A45F97" w:rsidP="00A45F97">
      <w:pPr>
        <w:spacing w:line="240" w:lineRule="auto"/>
        <w:jc w:val="both"/>
        <w:rPr>
          <w:rFonts w:asciiTheme="majorBidi" w:hAnsiTheme="majorBidi" w:cstheme="majorBidi"/>
          <w:color w:val="000000"/>
          <w:sz w:val="20"/>
          <w:szCs w:val="20"/>
        </w:rPr>
      </w:pPr>
      <w:r w:rsidRPr="00A45F97">
        <w:rPr>
          <w:rFonts w:asciiTheme="majorBidi" w:hAnsiTheme="majorBidi" w:cstheme="majorBidi"/>
          <w:color w:val="000000"/>
          <w:sz w:val="20"/>
          <w:szCs w:val="20"/>
        </w:rPr>
        <w:t>β</w:t>
      </w:r>
      <w:r w:rsidRPr="00A45F97">
        <w:rPr>
          <w:rFonts w:asciiTheme="majorBidi" w:hAnsiTheme="majorBidi" w:cstheme="majorBidi"/>
          <w:color w:val="000000"/>
          <w:sz w:val="20"/>
          <w:szCs w:val="20"/>
          <w:vertAlign w:val="subscript"/>
        </w:rPr>
        <w:t xml:space="preserve">1 </w:t>
      </w:r>
      <w:r w:rsidRPr="00A45F97">
        <w:rPr>
          <w:rFonts w:asciiTheme="majorBidi" w:hAnsiTheme="majorBidi" w:cstheme="majorBidi"/>
          <w:color w:val="000000"/>
          <w:sz w:val="20"/>
          <w:szCs w:val="20"/>
        </w:rPr>
        <w:t>+ β</w:t>
      </w:r>
      <w:r w:rsidRPr="00A45F97">
        <w:rPr>
          <w:rFonts w:asciiTheme="majorBidi" w:hAnsiTheme="majorBidi" w:cstheme="majorBidi"/>
          <w:color w:val="000000"/>
          <w:sz w:val="20"/>
          <w:szCs w:val="20"/>
          <w:vertAlign w:val="subscript"/>
        </w:rPr>
        <w:t xml:space="preserve">4 </w:t>
      </w:r>
      <w:r w:rsidRPr="00A45F97">
        <w:rPr>
          <w:rFonts w:asciiTheme="majorBidi" w:hAnsiTheme="majorBidi" w:cstheme="majorBidi"/>
          <w:color w:val="000000"/>
          <w:sz w:val="20"/>
          <w:szCs w:val="20"/>
        </w:rPr>
        <w:t>=Koefisien Regesi</w:t>
      </w:r>
    </w:p>
    <w:p w:rsidR="00A45F97" w:rsidRPr="00A45F97" w:rsidRDefault="00A45F97" w:rsidP="00A45F97">
      <w:pPr>
        <w:spacing w:line="240" w:lineRule="auto"/>
        <w:contextualSpacing/>
        <w:jc w:val="both"/>
        <w:rPr>
          <w:rFonts w:asciiTheme="majorBidi" w:hAnsiTheme="majorBidi" w:cstheme="majorBidi"/>
          <w:color w:val="000000"/>
          <w:sz w:val="20"/>
          <w:szCs w:val="20"/>
        </w:rPr>
      </w:pPr>
      <w:r w:rsidRPr="00A45F97">
        <w:rPr>
          <w:rFonts w:asciiTheme="majorBidi" w:hAnsiTheme="majorBidi" w:cstheme="majorBidi"/>
          <w:color w:val="000000"/>
          <w:sz w:val="20"/>
          <w:szCs w:val="20"/>
        </w:rPr>
        <w:t xml:space="preserve">ECT = </w:t>
      </w:r>
      <w:r w:rsidRPr="00A45F97">
        <w:rPr>
          <w:rFonts w:asciiTheme="majorBidi" w:hAnsiTheme="majorBidi" w:cstheme="majorBidi"/>
          <w:i/>
          <w:color w:val="000000"/>
          <w:sz w:val="20"/>
          <w:szCs w:val="20"/>
        </w:rPr>
        <w:t>Error Correction Term</w:t>
      </w:r>
      <w:r w:rsidRPr="00A45F97">
        <w:rPr>
          <w:rFonts w:asciiTheme="majorBidi" w:hAnsiTheme="majorBidi" w:cstheme="majorBidi"/>
          <w:color w:val="000000"/>
          <w:sz w:val="20"/>
          <w:szCs w:val="20"/>
        </w:rPr>
        <w:t>(lag satu periode dari error term)</w:t>
      </w:r>
    </w:p>
    <w:p w:rsidR="00F30264" w:rsidRDefault="00F30264" w:rsidP="00F30264">
      <w:pPr>
        <w:spacing w:line="240" w:lineRule="auto"/>
        <w:rPr>
          <w:rFonts w:asciiTheme="majorBidi" w:hAnsiTheme="majorBidi" w:cstheme="majorBidi"/>
          <w:b/>
          <w:bCs/>
          <w:sz w:val="20"/>
          <w:szCs w:val="20"/>
        </w:rPr>
      </w:pPr>
    </w:p>
    <w:p w:rsidR="00A45F97" w:rsidRPr="00CF273D" w:rsidRDefault="00A45F97" w:rsidP="00CF273D">
      <w:pPr>
        <w:pStyle w:val="ListParagraph"/>
        <w:numPr>
          <w:ilvl w:val="0"/>
          <w:numId w:val="1"/>
        </w:numPr>
        <w:spacing w:line="240" w:lineRule="auto"/>
        <w:jc w:val="center"/>
        <w:rPr>
          <w:rFonts w:asciiTheme="majorBidi" w:hAnsiTheme="majorBidi" w:cstheme="majorBidi"/>
          <w:b/>
          <w:bCs/>
          <w:sz w:val="20"/>
          <w:szCs w:val="20"/>
        </w:rPr>
      </w:pPr>
      <w:r w:rsidRPr="00CF273D">
        <w:rPr>
          <w:rFonts w:asciiTheme="majorBidi" w:hAnsiTheme="majorBidi" w:cstheme="majorBidi"/>
          <w:b/>
          <w:bCs/>
          <w:sz w:val="20"/>
          <w:szCs w:val="20"/>
        </w:rPr>
        <w:t>HASIL DAN PEMBAHASAN</w:t>
      </w:r>
    </w:p>
    <w:p w:rsidR="00A45F97" w:rsidRPr="00A45F97" w:rsidRDefault="00A45F97" w:rsidP="00A45F97">
      <w:pPr>
        <w:pStyle w:val="Heading3"/>
        <w:numPr>
          <w:ilvl w:val="0"/>
          <w:numId w:val="7"/>
        </w:numPr>
        <w:spacing w:before="0"/>
        <w:ind w:left="270" w:hanging="270"/>
        <w:rPr>
          <w:rFonts w:asciiTheme="majorBidi" w:hAnsiTheme="majorBidi" w:cstheme="majorBidi"/>
          <w:sz w:val="20"/>
          <w:szCs w:val="20"/>
        </w:rPr>
      </w:pPr>
      <w:bookmarkStart w:id="19" w:name="_Toc409616141"/>
      <w:bookmarkStart w:id="20" w:name="_Toc414709776"/>
      <w:r>
        <w:rPr>
          <w:rFonts w:asciiTheme="majorBidi" w:hAnsiTheme="majorBidi" w:cstheme="majorBidi"/>
          <w:sz w:val="20"/>
          <w:szCs w:val="20"/>
        </w:rPr>
        <w:t>Hasil</w:t>
      </w:r>
    </w:p>
    <w:p w:rsidR="00A45F97" w:rsidRPr="00A45F97" w:rsidRDefault="00A45F97" w:rsidP="00A45F97">
      <w:pPr>
        <w:pStyle w:val="Heading3"/>
        <w:spacing w:before="0"/>
        <w:ind w:left="720" w:hanging="720"/>
        <w:rPr>
          <w:rFonts w:asciiTheme="majorBidi" w:hAnsiTheme="majorBidi" w:cstheme="majorBidi"/>
          <w:sz w:val="20"/>
          <w:szCs w:val="20"/>
        </w:rPr>
      </w:pPr>
      <w:r w:rsidRPr="00A45F97">
        <w:rPr>
          <w:rFonts w:asciiTheme="majorBidi" w:hAnsiTheme="majorBidi" w:cstheme="majorBidi"/>
          <w:sz w:val="20"/>
          <w:szCs w:val="20"/>
        </w:rPr>
        <w:t>Uji Stasioneritas dan Uji Derajat Integrasi</w:t>
      </w:r>
      <w:bookmarkEnd w:id="19"/>
      <w:bookmarkEnd w:id="20"/>
    </w:p>
    <w:p w:rsidR="00A45F97" w:rsidRPr="00A45F97" w:rsidRDefault="00A45F97" w:rsidP="00A45F97">
      <w:pPr>
        <w:spacing w:line="240" w:lineRule="auto"/>
        <w:ind w:firstLine="720"/>
        <w:jc w:val="both"/>
        <w:rPr>
          <w:rFonts w:asciiTheme="majorBidi" w:hAnsiTheme="majorBidi" w:cstheme="majorBidi"/>
          <w:sz w:val="20"/>
          <w:szCs w:val="20"/>
          <w:lang w:val="id-ID"/>
        </w:rPr>
      </w:pPr>
      <w:r w:rsidRPr="00A45F97">
        <w:rPr>
          <w:rFonts w:asciiTheme="majorBidi" w:hAnsiTheme="majorBidi" w:cstheme="majorBidi"/>
          <w:sz w:val="20"/>
          <w:szCs w:val="20"/>
        </w:rPr>
        <w:t xml:space="preserve">Pengujian ini dilakukan pada data semua variabel yang digunakan dalam penelitian. Menggunakan </w:t>
      </w:r>
      <w:r w:rsidRPr="00A45F97">
        <w:rPr>
          <w:rFonts w:asciiTheme="majorBidi" w:hAnsiTheme="majorBidi" w:cstheme="majorBidi"/>
          <w:i/>
          <w:sz w:val="20"/>
          <w:szCs w:val="20"/>
        </w:rPr>
        <w:t xml:space="preserve">Augmented Dickey Fuller Test. </w:t>
      </w:r>
      <w:r w:rsidRPr="00A45F97">
        <w:rPr>
          <w:rFonts w:asciiTheme="majorBidi" w:hAnsiTheme="majorBidi" w:cstheme="majorBidi"/>
          <w:sz w:val="20"/>
          <w:szCs w:val="20"/>
        </w:rPr>
        <w:t xml:space="preserve">Variabel dikatakan stasioner atau tidak mengandung </w:t>
      </w:r>
      <w:r w:rsidRPr="00A45F97">
        <w:rPr>
          <w:rFonts w:asciiTheme="majorBidi" w:hAnsiTheme="majorBidi" w:cstheme="majorBidi"/>
          <w:i/>
          <w:sz w:val="20"/>
          <w:szCs w:val="20"/>
        </w:rPr>
        <w:t xml:space="preserve">unit root </w:t>
      </w:r>
      <w:r w:rsidRPr="00A45F97">
        <w:rPr>
          <w:rFonts w:asciiTheme="majorBidi" w:hAnsiTheme="majorBidi" w:cstheme="majorBidi"/>
          <w:sz w:val="20"/>
          <w:szCs w:val="20"/>
        </w:rPr>
        <w:t xml:space="preserve">apabila nilai absolut </w:t>
      </w:r>
      <w:r w:rsidRPr="00A45F97">
        <w:rPr>
          <w:rFonts w:asciiTheme="majorBidi" w:hAnsiTheme="majorBidi" w:cstheme="majorBidi"/>
          <w:i/>
          <w:sz w:val="20"/>
          <w:szCs w:val="20"/>
        </w:rPr>
        <w:t xml:space="preserve">Augmented Dickey Fuller Statistic </w:t>
      </w:r>
      <w:r w:rsidRPr="00A45F97">
        <w:rPr>
          <w:rFonts w:asciiTheme="majorBidi" w:hAnsiTheme="majorBidi" w:cstheme="majorBidi"/>
          <w:sz w:val="20"/>
          <w:szCs w:val="20"/>
        </w:rPr>
        <w:t>variabel tersebut tidak lebih besar dari nilai probabilitasnya &lt; 5% (0</w:t>
      </w:r>
      <w:proofErr w:type="gramStart"/>
      <w:r w:rsidRPr="00A45F97">
        <w:rPr>
          <w:rFonts w:asciiTheme="majorBidi" w:hAnsiTheme="majorBidi" w:cstheme="majorBidi"/>
          <w:sz w:val="20"/>
          <w:szCs w:val="20"/>
        </w:rPr>
        <w:t>,05</w:t>
      </w:r>
      <w:proofErr w:type="gramEnd"/>
      <w:r w:rsidRPr="00A45F97">
        <w:rPr>
          <w:rFonts w:asciiTheme="majorBidi" w:hAnsiTheme="majorBidi" w:cstheme="majorBidi"/>
          <w:sz w:val="20"/>
          <w:szCs w:val="20"/>
        </w:rPr>
        <w:t>).</w:t>
      </w:r>
    </w:p>
    <w:p w:rsidR="00D10450" w:rsidRDefault="00D10450" w:rsidP="00A45F97">
      <w:pPr>
        <w:pStyle w:val="Caption"/>
        <w:spacing w:after="0"/>
        <w:rPr>
          <w:rFonts w:asciiTheme="majorBidi" w:hAnsiTheme="majorBidi" w:cstheme="majorBidi"/>
          <w:b w:val="0"/>
          <w:color w:val="auto"/>
          <w:sz w:val="20"/>
          <w:szCs w:val="20"/>
        </w:rPr>
      </w:pPr>
      <w:bookmarkStart w:id="21" w:name="_Toc409621288"/>
    </w:p>
    <w:p w:rsidR="00D10450" w:rsidRDefault="00D10450" w:rsidP="00A45F97">
      <w:pPr>
        <w:pStyle w:val="Caption"/>
        <w:spacing w:after="0"/>
        <w:rPr>
          <w:rFonts w:asciiTheme="majorBidi" w:hAnsiTheme="majorBidi" w:cstheme="majorBidi"/>
          <w:b w:val="0"/>
          <w:color w:val="auto"/>
          <w:sz w:val="20"/>
          <w:szCs w:val="20"/>
        </w:rPr>
      </w:pPr>
    </w:p>
    <w:p w:rsidR="00D10450" w:rsidRDefault="00D10450" w:rsidP="00A45F97">
      <w:pPr>
        <w:pStyle w:val="Caption"/>
        <w:spacing w:after="0"/>
        <w:rPr>
          <w:rFonts w:asciiTheme="majorBidi" w:hAnsiTheme="majorBidi" w:cstheme="majorBidi"/>
          <w:b w:val="0"/>
          <w:color w:val="auto"/>
          <w:sz w:val="20"/>
          <w:szCs w:val="20"/>
        </w:rPr>
      </w:pPr>
    </w:p>
    <w:p w:rsidR="00D37D20" w:rsidRDefault="00D37D20" w:rsidP="00D37D20"/>
    <w:p w:rsidR="00D37D20" w:rsidRPr="00D37D20" w:rsidRDefault="00D37D20" w:rsidP="00D37D20"/>
    <w:p w:rsidR="00D10450" w:rsidRDefault="00D10450" w:rsidP="00A45F97">
      <w:pPr>
        <w:pStyle w:val="Caption"/>
        <w:spacing w:after="0"/>
        <w:rPr>
          <w:rFonts w:asciiTheme="majorBidi" w:hAnsiTheme="majorBidi" w:cstheme="majorBidi"/>
          <w:b w:val="0"/>
          <w:color w:val="auto"/>
          <w:sz w:val="20"/>
          <w:szCs w:val="20"/>
        </w:rPr>
      </w:pPr>
    </w:p>
    <w:p w:rsidR="00A45F97" w:rsidRPr="00A45F97" w:rsidRDefault="00A45F97" w:rsidP="00A45F97">
      <w:pPr>
        <w:pStyle w:val="Caption"/>
        <w:spacing w:after="0"/>
        <w:rPr>
          <w:rFonts w:asciiTheme="majorBidi" w:hAnsiTheme="majorBidi" w:cstheme="majorBidi"/>
          <w:color w:val="auto"/>
          <w:sz w:val="20"/>
          <w:szCs w:val="20"/>
        </w:rPr>
      </w:pPr>
      <w:r>
        <w:rPr>
          <w:rFonts w:asciiTheme="majorBidi" w:hAnsiTheme="majorBidi" w:cstheme="majorBidi"/>
          <w:b w:val="0"/>
          <w:color w:val="auto"/>
          <w:sz w:val="20"/>
          <w:szCs w:val="20"/>
        </w:rPr>
        <w:lastRenderedPageBreak/>
        <w:t>Tabel 1</w:t>
      </w:r>
      <w:proofErr w:type="gramStart"/>
      <w:r w:rsidRPr="00A45F97">
        <w:rPr>
          <w:rFonts w:asciiTheme="majorBidi" w:hAnsiTheme="majorBidi" w:cstheme="majorBidi"/>
          <w:b w:val="0"/>
          <w:color w:val="auto"/>
          <w:sz w:val="20"/>
          <w:szCs w:val="20"/>
        </w:rPr>
        <w:t>:</w:t>
      </w:r>
      <w:r w:rsidRPr="00A45F97">
        <w:rPr>
          <w:rFonts w:asciiTheme="majorBidi" w:hAnsiTheme="majorBidi" w:cstheme="majorBidi"/>
          <w:color w:val="auto"/>
          <w:sz w:val="20"/>
          <w:szCs w:val="20"/>
        </w:rPr>
        <w:t>Hasil</w:t>
      </w:r>
      <w:proofErr w:type="gramEnd"/>
      <w:r w:rsidRPr="00A45F97">
        <w:rPr>
          <w:rFonts w:asciiTheme="majorBidi" w:hAnsiTheme="majorBidi" w:cstheme="majorBidi"/>
          <w:color w:val="auto"/>
          <w:sz w:val="20"/>
          <w:szCs w:val="20"/>
        </w:rPr>
        <w:t xml:space="preserve"> Pengujian Stasioneritas </w:t>
      </w:r>
      <w:r w:rsidRPr="00A45F97">
        <w:rPr>
          <w:rFonts w:asciiTheme="majorBidi" w:hAnsiTheme="majorBidi" w:cstheme="majorBidi"/>
          <w:i/>
          <w:color w:val="auto"/>
          <w:sz w:val="20"/>
          <w:szCs w:val="20"/>
        </w:rPr>
        <w:t>Augmented Dickey Fuller Test</w:t>
      </w:r>
      <w:bookmarkEnd w:id="21"/>
    </w:p>
    <w:tbl>
      <w:tblPr>
        <w:tblStyle w:val="TableGrid"/>
        <w:tblW w:w="0" w:type="auto"/>
        <w:tblLook w:val="04A0"/>
      </w:tblPr>
      <w:tblGrid>
        <w:gridCol w:w="1630"/>
        <w:gridCol w:w="1630"/>
        <w:gridCol w:w="1631"/>
        <w:gridCol w:w="1631"/>
        <w:gridCol w:w="1631"/>
      </w:tblGrid>
      <w:tr w:rsidR="00A45F97" w:rsidRPr="00A45F97" w:rsidTr="00322BF6">
        <w:trPr>
          <w:trHeight w:val="506"/>
        </w:trPr>
        <w:tc>
          <w:tcPr>
            <w:tcW w:w="1630" w:type="dxa"/>
            <w:shd w:val="clear" w:color="auto" w:fill="FFFF00"/>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Variabel</w:t>
            </w:r>
          </w:p>
        </w:tc>
        <w:tc>
          <w:tcPr>
            <w:tcW w:w="1630" w:type="dxa"/>
            <w:shd w:val="clear" w:color="auto" w:fill="FFFF00"/>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Signifikan</w:t>
            </w:r>
          </w:p>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(level)</w:t>
            </w:r>
          </w:p>
        </w:tc>
        <w:tc>
          <w:tcPr>
            <w:tcW w:w="1631" w:type="dxa"/>
            <w:shd w:val="clear" w:color="auto" w:fill="FFFF00"/>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Signifikan</w:t>
            </w:r>
          </w:p>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(1</w:t>
            </w:r>
            <w:r w:rsidRPr="00A45F97">
              <w:rPr>
                <w:rFonts w:asciiTheme="majorBidi" w:hAnsiTheme="majorBidi" w:cstheme="majorBidi"/>
                <w:sz w:val="20"/>
                <w:szCs w:val="20"/>
                <w:vertAlign w:val="superscript"/>
              </w:rPr>
              <w:t>st</w:t>
            </w:r>
            <w:r w:rsidRPr="00A45F97">
              <w:rPr>
                <w:rFonts w:asciiTheme="majorBidi" w:hAnsiTheme="majorBidi" w:cstheme="majorBidi"/>
                <w:sz w:val="20"/>
                <w:szCs w:val="20"/>
              </w:rPr>
              <w:t xml:space="preserve"> diff)</w:t>
            </w:r>
          </w:p>
        </w:tc>
        <w:tc>
          <w:tcPr>
            <w:tcW w:w="1631" w:type="dxa"/>
            <w:shd w:val="clear" w:color="auto" w:fill="FFFF00"/>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Signifikan</w:t>
            </w:r>
          </w:p>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(2</w:t>
            </w:r>
            <w:r w:rsidRPr="00A45F97">
              <w:rPr>
                <w:rFonts w:asciiTheme="majorBidi" w:hAnsiTheme="majorBidi" w:cstheme="majorBidi"/>
                <w:sz w:val="20"/>
                <w:szCs w:val="20"/>
                <w:vertAlign w:val="superscript"/>
              </w:rPr>
              <w:t>nd</w:t>
            </w:r>
            <w:r w:rsidRPr="00A45F97">
              <w:rPr>
                <w:rFonts w:asciiTheme="majorBidi" w:hAnsiTheme="majorBidi" w:cstheme="majorBidi"/>
                <w:sz w:val="20"/>
                <w:szCs w:val="20"/>
              </w:rPr>
              <w:t xml:space="preserve"> diff)</w:t>
            </w:r>
          </w:p>
        </w:tc>
        <w:tc>
          <w:tcPr>
            <w:tcW w:w="1631" w:type="dxa"/>
            <w:shd w:val="clear" w:color="auto" w:fill="FFFF00"/>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Keterangan</w:t>
            </w:r>
          </w:p>
        </w:tc>
      </w:tr>
      <w:tr w:rsidR="00A45F97" w:rsidRPr="00A45F97" w:rsidTr="00322BF6">
        <w:trPr>
          <w:trHeight w:val="506"/>
        </w:trPr>
        <w:tc>
          <w:tcPr>
            <w:tcW w:w="1630"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Inflasi</w:t>
            </w:r>
          </w:p>
        </w:tc>
        <w:tc>
          <w:tcPr>
            <w:tcW w:w="1630"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0.0178</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0.0000</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0.0007</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Stasioner pada level</w:t>
            </w:r>
          </w:p>
        </w:tc>
      </w:tr>
      <w:tr w:rsidR="00A45F97" w:rsidRPr="00A45F97" w:rsidTr="00322BF6">
        <w:trPr>
          <w:trHeight w:val="506"/>
        </w:trPr>
        <w:tc>
          <w:tcPr>
            <w:tcW w:w="1630"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Nilai Tukar</w:t>
            </w:r>
          </w:p>
        </w:tc>
        <w:tc>
          <w:tcPr>
            <w:tcW w:w="1630"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0.8419</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0.0047</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0.0000</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Stasioner pada1</w:t>
            </w:r>
            <w:r w:rsidRPr="00A45F97">
              <w:rPr>
                <w:rFonts w:asciiTheme="majorBidi" w:hAnsiTheme="majorBidi" w:cstheme="majorBidi"/>
                <w:sz w:val="20"/>
                <w:szCs w:val="20"/>
                <w:vertAlign w:val="superscript"/>
              </w:rPr>
              <w:t>st</w:t>
            </w:r>
            <w:r w:rsidRPr="00A45F97">
              <w:rPr>
                <w:rFonts w:asciiTheme="majorBidi" w:hAnsiTheme="majorBidi" w:cstheme="majorBidi"/>
                <w:sz w:val="20"/>
                <w:szCs w:val="20"/>
              </w:rPr>
              <w:t xml:space="preserve"> difference</w:t>
            </w:r>
          </w:p>
        </w:tc>
      </w:tr>
      <w:tr w:rsidR="00A45F97" w:rsidRPr="00A45F97" w:rsidTr="00322BF6">
        <w:trPr>
          <w:trHeight w:val="506"/>
        </w:trPr>
        <w:tc>
          <w:tcPr>
            <w:tcW w:w="1630"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BI Rate</w:t>
            </w:r>
          </w:p>
        </w:tc>
        <w:tc>
          <w:tcPr>
            <w:tcW w:w="1630"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0.2424</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0.0748</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0.0009</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Stasioner pada2</w:t>
            </w:r>
            <w:r w:rsidRPr="00A45F97">
              <w:rPr>
                <w:rFonts w:asciiTheme="majorBidi" w:hAnsiTheme="majorBidi" w:cstheme="majorBidi"/>
                <w:sz w:val="20"/>
                <w:szCs w:val="20"/>
                <w:vertAlign w:val="superscript"/>
              </w:rPr>
              <w:t>nd</w:t>
            </w:r>
            <w:r w:rsidRPr="00A45F97">
              <w:rPr>
                <w:rFonts w:asciiTheme="majorBidi" w:hAnsiTheme="majorBidi" w:cstheme="majorBidi"/>
                <w:sz w:val="20"/>
                <w:szCs w:val="20"/>
              </w:rPr>
              <w:t xml:space="preserve"> difference</w:t>
            </w:r>
          </w:p>
        </w:tc>
      </w:tr>
      <w:tr w:rsidR="00A45F97" w:rsidRPr="00A45F97" w:rsidTr="00322BF6">
        <w:trPr>
          <w:trHeight w:val="506"/>
        </w:trPr>
        <w:tc>
          <w:tcPr>
            <w:tcW w:w="1630"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Pertumbuhan Ekonomi</w:t>
            </w:r>
          </w:p>
        </w:tc>
        <w:tc>
          <w:tcPr>
            <w:tcW w:w="1630"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0.1402</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0.0150</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0.0013</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Stasioner pada1</w:t>
            </w:r>
            <w:r w:rsidRPr="00A45F97">
              <w:rPr>
                <w:rFonts w:asciiTheme="majorBidi" w:hAnsiTheme="majorBidi" w:cstheme="majorBidi"/>
                <w:sz w:val="20"/>
                <w:szCs w:val="20"/>
                <w:vertAlign w:val="superscript"/>
              </w:rPr>
              <w:t>st</w:t>
            </w:r>
            <w:r w:rsidRPr="00A45F97">
              <w:rPr>
                <w:rFonts w:asciiTheme="majorBidi" w:hAnsiTheme="majorBidi" w:cstheme="majorBidi"/>
                <w:sz w:val="20"/>
                <w:szCs w:val="20"/>
              </w:rPr>
              <w:t xml:space="preserve"> difference</w:t>
            </w:r>
          </w:p>
        </w:tc>
      </w:tr>
      <w:tr w:rsidR="00A45F97" w:rsidRPr="00A45F97" w:rsidTr="00322BF6">
        <w:trPr>
          <w:trHeight w:val="506"/>
        </w:trPr>
        <w:tc>
          <w:tcPr>
            <w:tcW w:w="1630"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Return Saham</w:t>
            </w:r>
          </w:p>
        </w:tc>
        <w:tc>
          <w:tcPr>
            <w:tcW w:w="1630"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0.0000</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0.0000</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0.0051</w:t>
            </w:r>
          </w:p>
        </w:tc>
        <w:tc>
          <w:tcPr>
            <w:tcW w:w="1631" w:type="dxa"/>
          </w:tcPr>
          <w:p w:rsidR="00A45F97" w:rsidRPr="00A45F97" w:rsidRDefault="00A45F97" w:rsidP="00A45F97">
            <w:pPr>
              <w:rPr>
                <w:rFonts w:asciiTheme="majorBidi" w:hAnsiTheme="majorBidi" w:cstheme="majorBidi"/>
                <w:sz w:val="20"/>
                <w:szCs w:val="20"/>
              </w:rPr>
            </w:pPr>
            <w:r w:rsidRPr="00A45F97">
              <w:rPr>
                <w:rFonts w:asciiTheme="majorBidi" w:hAnsiTheme="majorBidi" w:cstheme="majorBidi"/>
                <w:sz w:val="20"/>
                <w:szCs w:val="20"/>
              </w:rPr>
              <w:t>Stasioner pada level</w:t>
            </w:r>
          </w:p>
        </w:tc>
      </w:tr>
    </w:tbl>
    <w:p w:rsidR="00A45F97" w:rsidRPr="00A45F97" w:rsidRDefault="00A45F97" w:rsidP="00A45F97">
      <w:pPr>
        <w:spacing w:line="240" w:lineRule="auto"/>
        <w:jc w:val="both"/>
        <w:rPr>
          <w:rFonts w:asciiTheme="majorBidi" w:hAnsiTheme="majorBidi" w:cstheme="majorBidi"/>
          <w:sz w:val="20"/>
          <w:szCs w:val="20"/>
        </w:rPr>
      </w:pPr>
      <w:proofErr w:type="gramStart"/>
      <w:r w:rsidRPr="00A45F97">
        <w:rPr>
          <w:rFonts w:asciiTheme="majorBidi" w:hAnsiTheme="majorBidi" w:cstheme="majorBidi"/>
          <w:sz w:val="20"/>
          <w:szCs w:val="20"/>
        </w:rPr>
        <w:t>Sumber :</w:t>
      </w:r>
      <w:proofErr w:type="gramEnd"/>
      <w:r w:rsidRPr="00A45F97">
        <w:rPr>
          <w:rFonts w:asciiTheme="majorBidi" w:hAnsiTheme="majorBidi" w:cstheme="majorBidi"/>
          <w:sz w:val="20"/>
          <w:szCs w:val="20"/>
        </w:rPr>
        <w:t xml:space="preserve"> Data diolah (2015)</w:t>
      </w:r>
    </w:p>
    <w:p w:rsidR="00A45F97" w:rsidRPr="00A45F97" w:rsidRDefault="00A45F97" w:rsidP="00A45F97">
      <w:pPr>
        <w:spacing w:line="240" w:lineRule="auto"/>
        <w:ind w:firstLine="720"/>
        <w:jc w:val="both"/>
        <w:rPr>
          <w:rFonts w:asciiTheme="majorBidi" w:hAnsiTheme="majorBidi" w:cstheme="majorBidi"/>
          <w:sz w:val="20"/>
          <w:szCs w:val="20"/>
          <w:lang w:val="id-ID"/>
        </w:rPr>
      </w:pPr>
      <w:r w:rsidRPr="00A45F97">
        <w:rPr>
          <w:rFonts w:asciiTheme="majorBidi" w:hAnsiTheme="majorBidi" w:cstheme="majorBidi"/>
          <w:sz w:val="20"/>
          <w:szCs w:val="20"/>
        </w:rPr>
        <w:t xml:space="preserve">Berdasarkan hasil pengujian, dapat diketahui tingkat signifikansi stasioneritas pada variabel yang diamati. Untuk variabel </w:t>
      </w:r>
      <w:r w:rsidRPr="00A45F97">
        <w:rPr>
          <w:rFonts w:asciiTheme="majorBidi" w:hAnsiTheme="majorBidi" w:cstheme="majorBidi"/>
          <w:i/>
          <w:sz w:val="20"/>
          <w:szCs w:val="20"/>
        </w:rPr>
        <w:t>return</w:t>
      </w:r>
      <w:r w:rsidRPr="00A45F97">
        <w:rPr>
          <w:rFonts w:asciiTheme="majorBidi" w:hAnsiTheme="majorBidi" w:cstheme="majorBidi"/>
          <w:sz w:val="20"/>
          <w:szCs w:val="20"/>
        </w:rPr>
        <w:t xml:space="preserve"> saham dan inflasi stasioner pada tingkat level. Sedangkan untuk variabel nilai tukar dan pertumbuhan ekonomi stasioner pada tingkat 1</w:t>
      </w:r>
      <w:r w:rsidRPr="00A45F97">
        <w:rPr>
          <w:rFonts w:asciiTheme="majorBidi" w:hAnsiTheme="majorBidi" w:cstheme="majorBidi"/>
          <w:sz w:val="20"/>
          <w:szCs w:val="20"/>
          <w:vertAlign w:val="superscript"/>
        </w:rPr>
        <w:t>st</w:t>
      </w:r>
      <w:r w:rsidRPr="00A45F97">
        <w:rPr>
          <w:rFonts w:asciiTheme="majorBidi" w:hAnsiTheme="majorBidi" w:cstheme="majorBidi"/>
          <w:i/>
          <w:sz w:val="20"/>
          <w:szCs w:val="20"/>
        </w:rPr>
        <w:t xml:space="preserve">Diffrerence. </w:t>
      </w:r>
      <w:r w:rsidRPr="00A45F97">
        <w:rPr>
          <w:rFonts w:asciiTheme="majorBidi" w:hAnsiTheme="majorBidi" w:cstheme="majorBidi"/>
          <w:sz w:val="20"/>
          <w:szCs w:val="20"/>
        </w:rPr>
        <w:t xml:space="preserve">Namun pada variabel BI </w:t>
      </w:r>
      <w:r w:rsidRPr="00A45F97">
        <w:rPr>
          <w:rFonts w:asciiTheme="majorBidi" w:hAnsiTheme="majorBidi" w:cstheme="majorBidi"/>
          <w:i/>
          <w:sz w:val="20"/>
          <w:szCs w:val="20"/>
        </w:rPr>
        <w:t>rate</w:t>
      </w:r>
      <w:r w:rsidRPr="00A45F97">
        <w:rPr>
          <w:rFonts w:asciiTheme="majorBidi" w:hAnsiTheme="majorBidi" w:cstheme="majorBidi"/>
          <w:sz w:val="20"/>
          <w:szCs w:val="20"/>
        </w:rPr>
        <w:t xml:space="preserve"> stasioner pada tingkat 2</w:t>
      </w:r>
      <w:r w:rsidRPr="00A45F97">
        <w:rPr>
          <w:rFonts w:asciiTheme="majorBidi" w:hAnsiTheme="majorBidi" w:cstheme="majorBidi"/>
          <w:sz w:val="20"/>
          <w:szCs w:val="20"/>
          <w:vertAlign w:val="superscript"/>
        </w:rPr>
        <w:t>nd</w:t>
      </w:r>
      <w:r w:rsidRPr="00A45F97">
        <w:rPr>
          <w:rFonts w:asciiTheme="majorBidi" w:hAnsiTheme="majorBidi" w:cstheme="majorBidi"/>
          <w:sz w:val="20"/>
          <w:szCs w:val="20"/>
        </w:rPr>
        <w:t>Difference. Karena adanya perbedaan derajat stasioner pada variabel dalam penelitian, maka penelitian ini digunakan derajat stasioner tertinggi pada semua variabel yang diamati, yaitu pada derajat 2</w:t>
      </w:r>
      <w:r w:rsidRPr="00A45F97">
        <w:rPr>
          <w:rFonts w:asciiTheme="majorBidi" w:hAnsiTheme="majorBidi" w:cstheme="majorBidi"/>
          <w:sz w:val="20"/>
          <w:szCs w:val="20"/>
          <w:vertAlign w:val="superscript"/>
        </w:rPr>
        <w:t>nd</w:t>
      </w:r>
      <w:r w:rsidRPr="00A45F97">
        <w:rPr>
          <w:rFonts w:asciiTheme="majorBidi" w:hAnsiTheme="majorBidi" w:cstheme="majorBidi"/>
          <w:i/>
          <w:sz w:val="20"/>
          <w:szCs w:val="20"/>
        </w:rPr>
        <w:t>Difference</w:t>
      </w:r>
      <w:r w:rsidRPr="00A45F97">
        <w:rPr>
          <w:rFonts w:asciiTheme="majorBidi" w:hAnsiTheme="majorBidi" w:cstheme="majorBidi"/>
          <w:sz w:val="20"/>
          <w:szCs w:val="20"/>
        </w:rPr>
        <w:t>.</w:t>
      </w:r>
    </w:p>
    <w:p w:rsidR="00A45F97" w:rsidRPr="00A45F97" w:rsidRDefault="00A45F97" w:rsidP="00A45F97">
      <w:pPr>
        <w:pStyle w:val="Heading3"/>
        <w:rPr>
          <w:rFonts w:asciiTheme="majorBidi" w:hAnsiTheme="majorBidi" w:cstheme="majorBidi"/>
          <w:sz w:val="20"/>
          <w:szCs w:val="20"/>
          <w:lang w:val="id-ID"/>
        </w:rPr>
      </w:pPr>
      <w:bookmarkStart w:id="22" w:name="_Toc414709777"/>
      <w:r w:rsidRPr="00A45F97">
        <w:rPr>
          <w:rFonts w:asciiTheme="majorBidi" w:hAnsiTheme="majorBidi" w:cstheme="majorBidi"/>
          <w:sz w:val="20"/>
          <w:szCs w:val="20"/>
          <w:lang w:val="id-ID"/>
        </w:rPr>
        <w:t>Uji Kointegrasi</w:t>
      </w:r>
      <w:bookmarkEnd w:id="22"/>
    </w:p>
    <w:p w:rsidR="00A45F97" w:rsidRPr="00A45F97" w:rsidRDefault="00A45F97" w:rsidP="00A45F97">
      <w:pPr>
        <w:spacing w:line="240" w:lineRule="auto"/>
        <w:ind w:firstLine="720"/>
        <w:jc w:val="both"/>
        <w:rPr>
          <w:rFonts w:asciiTheme="majorBidi" w:hAnsiTheme="majorBidi" w:cstheme="majorBidi"/>
          <w:b/>
          <w:sz w:val="20"/>
          <w:szCs w:val="20"/>
          <w:lang w:val="id-ID"/>
        </w:rPr>
      </w:pPr>
      <w:r w:rsidRPr="00A45F97">
        <w:rPr>
          <w:rFonts w:asciiTheme="majorBidi" w:hAnsiTheme="majorBidi" w:cstheme="majorBidi"/>
          <w:sz w:val="20"/>
          <w:szCs w:val="20"/>
        </w:rPr>
        <w:t>Setelah dilakukan uji stasioneritas pada semua variabel dan di</w:t>
      </w:r>
      <w:r w:rsidRPr="00A45F97">
        <w:rPr>
          <w:rFonts w:asciiTheme="majorBidi" w:hAnsiTheme="majorBidi" w:cstheme="majorBidi"/>
          <w:sz w:val="20"/>
          <w:szCs w:val="20"/>
          <w:lang w:val="id-ID"/>
        </w:rPr>
        <w:t>temukan</w:t>
      </w:r>
      <w:r w:rsidRPr="00A45F97">
        <w:rPr>
          <w:rFonts w:asciiTheme="majorBidi" w:hAnsiTheme="majorBidi" w:cstheme="majorBidi"/>
          <w:sz w:val="20"/>
          <w:szCs w:val="20"/>
        </w:rPr>
        <w:t xml:space="preserve"> bahwa semua variabel </w:t>
      </w:r>
      <w:r w:rsidRPr="00A45F97">
        <w:rPr>
          <w:rFonts w:asciiTheme="majorBidi" w:hAnsiTheme="majorBidi" w:cstheme="majorBidi"/>
          <w:sz w:val="20"/>
          <w:szCs w:val="20"/>
          <w:lang w:val="id-ID"/>
        </w:rPr>
        <w:t xml:space="preserve">independen dan dependen </w:t>
      </w:r>
      <w:r w:rsidRPr="00A45F97">
        <w:rPr>
          <w:rFonts w:asciiTheme="majorBidi" w:hAnsiTheme="majorBidi" w:cstheme="majorBidi"/>
          <w:sz w:val="20"/>
          <w:szCs w:val="20"/>
        </w:rPr>
        <w:t xml:space="preserve">telah stasioner pada derajat yang </w:t>
      </w:r>
      <w:proofErr w:type="gramStart"/>
      <w:r w:rsidRPr="00A45F97">
        <w:rPr>
          <w:rFonts w:asciiTheme="majorBidi" w:hAnsiTheme="majorBidi" w:cstheme="majorBidi"/>
          <w:sz w:val="20"/>
          <w:szCs w:val="20"/>
        </w:rPr>
        <w:t>sama</w:t>
      </w:r>
      <w:proofErr w:type="gramEnd"/>
      <w:r w:rsidRPr="00A45F97">
        <w:rPr>
          <w:rFonts w:asciiTheme="majorBidi" w:hAnsiTheme="majorBidi" w:cstheme="majorBidi"/>
          <w:sz w:val="20"/>
          <w:szCs w:val="20"/>
        </w:rPr>
        <w:t xml:space="preserve">, maka tahap selanjutnya adalah uji kointegrasi. Pengujian ini dilakukan karena adanya kemungkinan hubungan keseimbangan jangka panjang antara variabel – variabel yang digunakan dalam peneliti. Variabel – variabel dikatakan terkointegrasi apabila terdapat </w:t>
      </w:r>
      <w:r w:rsidRPr="00A45F97">
        <w:rPr>
          <w:rFonts w:asciiTheme="majorBidi" w:hAnsiTheme="majorBidi" w:cstheme="majorBidi"/>
          <w:sz w:val="20"/>
          <w:szCs w:val="20"/>
          <w:lang w:val="id-ID"/>
        </w:rPr>
        <w:t>perpaduan</w:t>
      </w:r>
      <w:r w:rsidRPr="00A45F97">
        <w:rPr>
          <w:rFonts w:asciiTheme="majorBidi" w:hAnsiTheme="majorBidi" w:cstheme="majorBidi"/>
          <w:sz w:val="20"/>
          <w:szCs w:val="20"/>
        </w:rPr>
        <w:t xml:space="preserve"> linier diantara variabel – variabel yang tidak stasioner dan residual dari kombinasi linier tersebut stasioner pada derajat level. Metode yang digunakan untukuji kointegrasi pada penelitian ini adalah metode </w:t>
      </w:r>
      <w:r w:rsidRPr="00A45F97">
        <w:rPr>
          <w:rFonts w:asciiTheme="majorBidi" w:hAnsiTheme="majorBidi" w:cstheme="majorBidi"/>
          <w:i/>
          <w:sz w:val="20"/>
          <w:szCs w:val="20"/>
        </w:rPr>
        <w:t>Engle – Granger Cointegration Test.</w:t>
      </w:r>
      <w:r w:rsidRPr="00A45F97">
        <w:rPr>
          <w:rFonts w:asciiTheme="majorBidi" w:hAnsiTheme="majorBidi" w:cstheme="majorBidi"/>
          <w:sz w:val="20"/>
          <w:szCs w:val="20"/>
        </w:rPr>
        <w:t xml:space="preserve"> Metode ini terdiri dari dua tahap. Pertama, melakukan estimasi persamaan variabel dependen dan variabel independen dengan menggunakan regresi OLS yang kemudian </w:t>
      </w:r>
      <w:proofErr w:type="gramStart"/>
      <w:r w:rsidRPr="00A45F97">
        <w:rPr>
          <w:rFonts w:asciiTheme="majorBidi" w:hAnsiTheme="majorBidi" w:cstheme="majorBidi"/>
          <w:sz w:val="20"/>
          <w:szCs w:val="20"/>
        </w:rPr>
        <w:t>akan</w:t>
      </w:r>
      <w:proofErr w:type="gramEnd"/>
      <w:r w:rsidRPr="00A45F97">
        <w:rPr>
          <w:rFonts w:asciiTheme="majorBidi" w:hAnsiTheme="majorBidi" w:cstheme="majorBidi"/>
          <w:sz w:val="20"/>
          <w:szCs w:val="20"/>
        </w:rPr>
        <w:t xml:space="preserve"> didapatkan residual dari persamaan </w:t>
      </w:r>
      <w:r w:rsidRPr="00A45F97">
        <w:rPr>
          <w:rFonts w:asciiTheme="majorBidi" w:hAnsiTheme="majorBidi" w:cstheme="majorBidi"/>
          <w:sz w:val="20"/>
          <w:szCs w:val="20"/>
          <w:lang w:val="id-ID"/>
        </w:rPr>
        <w:t xml:space="preserve">OLS </w:t>
      </w:r>
      <w:r w:rsidRPr="00A45F97">
        <w:rPr>
          <w:rFonts w:asciiTheme="majorBidi" w:hAnsiTheme="majorBidi" w:cstheme="majorBidi"/>
          <w:sz w:val="20"/>
          <w:szCs w:val="20"/>
        </w:rPr>
        <w:t xml:space="preserve">tersebut. Kedua, melakukan uji stasioneritas dengan ADF </w:t>
      </w:r>
      <w:r w:rsidRPr="00A45F97">
        <w:rPr>
          <w:rFonts w:asciiTheme="majorBidi" w:hAnsiTheme="majorBidi" w:cstheme="majorBidi"/>
          <w:i/>
          <w:sz w:val="20"/>
          <w:szCs w:val="20"/>
        </w:rPr>
        <w:t xml:space="preserve">Test </w:t>
      </w:r>
      <w:r w:rsidRPr="00A45F97">
        <w:rPr>
          <w:rFonts w:asciiTheme="majorBidi" w:hAnsiTheme="majorBidi" w:cstheme="majorBidi"/>
          <w:sz w:val="20"/>
          <w:szCs w:val="20"/>
        </w:rPr>
        <w:t xml:space="preserve">terhadap residual tersebut dengan hipotesis yang </w:t>
      </w:r>
      <w:proofErr w:type="gramStart"/>
      <w:r w:rsidRPr="00A45F97">
        <w:rPr>
          <w:rFonts w:asciiTheme="majorBidi" w:hAnsiTheme="majorBidi" w:cstheme="majorBidi"/>
          <w:sz w:val="20"/>
          <w:szCs w:val="20"/>
        </w:rPr>
        <w:t>sama</w:t>
      </w:r>
      <w:proofErr w:type="gramEnd"/>
      <w:r w:rsidRPr="00A45F97">
        <w:rPr>
          <w:rFonts w:asciiTheme="majorBidi" w:hAnsiTheme="majorBidi" w:cstheme="majorBidi"/>
          <w:sz w:val="20"/>
          <w:szCs w:val="20"/>
        </w:rPr>
        <w:t xml:space="preserve"> seperti uji stasioneritas dengan ADF </w:t>
      </w:r>
      <w:r w:rsidRPr="00A45F97">
        <w:rPr>
          <w:rFonts w:asciiTheme="majorBidi" w:hAnsiTheme="majorBidi" w:cstheme="majorBidi"/>
          <w:i/>
          <w:sz w:val="20"/>
          <w:szCs w:val="20"/>
        </w:rPr>
        <w:t>Test</w:t>
      </w:r>
      <w:r w:rsidRPr="00A45F97">
        <w:rPr>
          <w:rFonts w:asciiTheme="majorBidi" w:hAnsiTheme="majorBidi" w:cstheme="majorBidi"/>
          <w:sz w:val="20"/>
          <w:szCs w:val="20"/>
        </w:rPr>
        <w:t xml:space="preserve"> sebelumnya. Model dikatakan mempunyai hubungan keseimbangan jangka panjang apabila variabel residual stasioner pada derajat level dengan nilai probabilitas lebih kecil dari toleransi kesalahan 5% (0</w:t>
      </w:r>
      <w:proofErr w:type="gramStart"/>
      <w:r w:rsidRPr="00A45F97">
        <w:rPr>
          <w:rFonts w:asciiTheme="majorBidi" w:hAnsiTheme="majorBidi" w:cstheme="majorBidi"/>
          <w:sz w:val="20"/>
          <w:szCs w:val="20"/>
        </w:rPr>
        <w:t>,05</w:t>
      </w:r>
      <w:proofErr w:type="gramEnd"/>
      <w:r w:rsidRPr="00A45F97">
        <w:rPr>
          <w:rFonts w:asciiTheme="majorBidi" w:hAnsiTheme="majorBidi" w:cstheme="majorBidi"/>
          <w:sz w:val="20"/>
          <w:szCs w:val="20"/>
        </w:rPr>
        <w:t>).</w:t>
      </w:r>
    </w:p>
    <w:p w:rsidR="00A45F97" w:rsidRDefault="00A45F97" w:rsidP="00A45F97">
      <w:pPr>
        <w:spacing w:line="240" w:lineRule="auto"/>
        <w:jc w:val="both"/>
        <w:rPr>
          <w:rFonts w:asciiTheme="majorBidi" w:hAnsiTheme="majorBidi" w:cstheme="majorBidi"/>
          <w:sz w:val="20"/>
          <w:szCs w:val="20"/>
          <w:lang w:val="id-ID"/>
        </w:rPr>
      </w:pPr>
    </w:p>
    <w:p w:rsidR="00A45F97" w:rsidRPr="00A45F97" w:rsidRDefault="00A45F97" w:rsidP="00A45F97">
      <w:pPr>
        <w:spacing w:line="240" w:lineRule="auto"/>
        <w:jc w:val="both"/>
        <w:rPr>
          <w:rFonts w:asciiTheme="majorBidi" w:hAnsiTheme="majorBidi" w:cstheme="majorBidi"/>
          <w:sz w:val="20"/>
          <w:szCs w:val="20"/>
          <w:lang w:val="id-ID"/>
        </w:rPr>
      </w:pPr>
    </w:p>
    <w:p w:rsidR="00A45F97" w:rsidRPr="00A45F97" w:rsidRDefault="00A45F97" w:rsidP="00A45F97">
      <w:pPr>
        <w:pStyle w:val="Caption"/>
        <w:spacing w:after="0"/>
        <w:rPr>
          <w:rFonts w:asciiTheme="majorBidi" w:hAnsiTheme="majorBidi" w:cstheme="majorBidi"/>
          <w:color w:val="auto"/>
          <w:sz w:val="20"/>
          <w:szCs w:val="20"/>
        </w:rPr>
      </w:pPr>
      <w:r>
        <w:rPr>
          <w:rFonts w:asciiTheme="majorBidi" w:hAnsiTheme="majorBidi" w:cstheme="majorBidi"/>
          <w:b w:val="0"/>
          <w:color w:val="auto"/>
          <w:sz w:val="20"/>
          <w:szCs w:val="20"/>
        </w:rPr>
        <w:t>Tabel 2</w:t>
      </w:r>
      <w:r w:rsidRPr="00A45F97">
        <w:rPr>
          <w:rFonts w:asciiTheme="majorBidi" w:hAnsiTheme="majorBidi" w:cstheme="majorBidi"/>
          <w:b w:val="0"/>
          <w:color w:val="auto"/>
          <w:sz w:val="20"/>
          <w:szCs w:val="20"/>
        </w:rPr>
        <w:t>:</w:t>
      </w:r>
      <w:r w:rsidRPr="00A45F97">
        <w:rPr>
          <w:rFonts w:asciiTheme="majorBidi" w:hAnsiTheme="majorBidi" w:cstheme="majorBidi"/>
          <w:color w:val="auto"/>
          <w:sz w:val="20"/>
          <w:szCs w:val="20"/>
        </w:rPr>
        <w:t xml:space="preserve"> Hasil Pengujian Stasioner Residual</w:t>
      </w:r>
    </w:p>
    <w:tbl>
      <w:tblPr>
        <w:tblW w:w="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1568"/>
        <w:gridCol w:w="2063"/>
      </w:tblGrid>
      <w:tr w:rsidR="00A45F97" w:rsidRPr="00A45F97" w:rsidTr="00322BF6">
        <w:trPr>
          <w:trHeight w:val="642"/>
        </w:trPr>
        <w:tc>
          <w:tcPr>
            <w:tcW w:w="2019" w:type="dxa"/>
            <w:shd w:val="clear" w:color="auto" w:fill="FFFF00"/>
            <w:noWrap/>
            <w:hideMark/>
          </w:tcPr>
          <w:p w:rsidR="00A45F97" w:rsidRPr="00A45F97" w:rsidRDefault="00A45F97" w:rsidP="00A45F97">
            <w:pPr>
              <w:spacing w:line="240" w:lineRule="auto"/>
              <w:jc w:val="both"/>
              <w:rPr>
                <w:rFonts w:asciiTheme="majorBidi" w:eastAsia="Times New Roman" w:hAnsiTheme="majorBidi" w:cstheme="majorBidi"/>
                <w:b/>
                <w:color w:val="000000"/>
                <w:sz w:val="20"/>
                <w:szCs w:val="20"/>
              </w:rPr>
            </w:pPr>
            <w:r w:rsidRPr="00A45F97">
              <w:rPr>
                <w:rFonts w:asciiTheme="majorBidi" w:eastAsia="Times New Roman" w:hAnsiTheme="majorBidi" w:cstheme="majorBidi"/>
                <w:b/>
                <w:color w:val="000000"/>
                <w:sz w:val="20"/>
                <w:szCs w:val="20"/>
              </w:rPr>
              <w:t>Variabel</w:t>
            </w:r>
          </w:p>
        </w:tc>
        <w:tc>
          <w:tcPr>
            <w:tcW w:w="1568" w:type="dxa"/>
            <w:shd w:val="clear" w:color="auto" w:fill="FFFF00"/>
            <w:noWrap/>
            <w:hideMark/>
          </w:tcPr>
          <w:p w:rsidR="00A45F97" w:rsidRPr="00A45F97" w:rsidRDefault="00A45F97" w:rsidP="00A45F97">
            <w:pPr>
              <w:spacing w:line="240" w:lineRule="auto"/>
              <w:jc w:val="both"/>
              <w:rPr>
                <w:rFonts w:asciiTheme="majorBidi" w:eastAsia="Times New Roman" w:hAnsiTheme="majorBidi" w:cstheme="majorBidi"/>
                <w:b/>
                <w:color w:val="000000"/>
                <w:sz w:val="20"/>
                <w:szCs w:val="20"/>
              </w:rPr>
            </w:pPr>
            <w:r w:rsidRPr="00A45F97">
              <w:rPr>
                <w:rFonts w:asciiTheme="majorBidi" w:eastAsia="Times New Roman" w:hAnsiTheme="majorBidi" w:cstheme="majorBidi"/>
                <w:b/>
                <w:color w:val="000000"/>
                <w:sz w:val="20"/>
                <w:szCs w:val="20"/>
              </w:rPr>
              <w:t>Signifikansi (Level)</w:t>
            </w:r>
          </w:p>
        </w:tc>
        <w:tc>
          <w:tcPr>
            <w:tcW w:w="2063" w:type="dxa"/>
            <w:shd w:val="clear" w:color="auto" w:fill="FFFF00"/>
            <w:noWrap/>
            <w:hideMark/>
          </w:tcPr>
          <w:p w:rsidR="00A45F97" w:rsidRPr="00A45F97" w:rsidRDefault="00A45F97" w:rsidP="00A45F97">
            <w:pPr>
              <w:spacing w:line="240" w:lineRule="auto"/>
              <w:jc w:val="both"/>
              <w:rPr>
                <w:rFonts w:asciiTheme="majorBidi" w:eastAsia="Times New Roman" w:hAnsiTheme="majorBidi" w:cstheme="majorBidi"/>
                <w:b/>
                <w:color w:val="000000"/>
                <w:sz w:val="20"/>
                <w:szCs w:val="20"/>
              </w:rPr>
            </w:pPr>
            <w:r w:rsidRPr="00A45F97">
              <w:rPr>
                <w:rFonts w:asciiTheme="majorBidi" w:eastAsia="Times New Roman" w:hAnsiTheme="majorBidi" w:cstheme="majorBidi"/>
                <w:b/>
                <w:color w:val="000000"/>
                <w:sz w:val="20"/>
                <w:szCs w:val="20"/>
              </w:rPr>
              <w:t>Keterangan</w:t>
            </w:r>
          </w:p>
        </w:tc>
      </w:tr>
      <w:tr w:rsidR="00A45F97" w:rsidRPr="00A45F97" w:rsidTr="00322BF6">
        <w:trPr>
          <w:trHeight w:val="642"/>
        </w:trPr>
        <w:tc>
          <w:tcPr>
            <w:tcW w:w="2019" w:type="dxa"/>
            <w:shd w:val="clear" w:color="auto" w:fill="auto"/>
            <w:noWrap/>
            <w:hideMark/>
          </w:tcPr>
          <w:p w:rsidR="00A45F97" w:rsidRPr="00A45F97" w:rsidRDefault="00A45F97" w:rsidP="00A45F97">
            <w:pPr>
              <w:spacing w:line="240" w:lineRule="auto"/>
              <w:jc w:val="both"/>
              <w:rPr>
                <w:rFonts w:asciiTheme="majorBidi" w:eastAsia="Times New Roman" w:hAnsiTheme="majorBidi" w:cstheme="majorBidi"/>
                <w:color w:val="000000"/>
                <w:sz w:val="20"/>
                <w:szCs w:val="20"/>
              </w:rPr>
            </w:pPr>
            <w:r w:rsidRPr="00A45F97">
              <w:rPr>
                <w:rFonts w:asciiTheme="majorBidi" w:eastAsia="Times New Roman" w:hAnsiTheme="majorBidi" w:cstheme="majorBidi"/>
                <w:color w:val="000000"/>
                <w:sz w:val="20"/>
                <w:szCs w:val="20"/>
              </w:rPr>
              <w:t>Residual (Resid0</w:t>
            </w:r>
            <w:r w:rsidRPr="00A45F97">
              <w:rPr>
                <w:rFonts w:asciiTheme="majorBidi" w:eastAsia="Times New Roman" w:hAnsiTheme="majorBidi" w:cstheme="majorBidi"/>
                <w:color w:val="000000"/>
                <w:sz w:val="20"/>
                <w:szCs w:val="20"/>
                <w:lang w:val="id-ID"/>
              </w:rPr>
              <w:t>1</w:t>
            </w:r>
            <w:r w:rsidRPr="00A45F97">
              <w:rPr>
                <w:rFonts w:asciiTheme="majorBidi" w:eastAsia="Times New Roman" w:hAnsiTheme="majorBidi" w:cstheme="majorBidi"/>
                <w:color w:val="000000"/>
                <w:sz w:val="20"/>
                <w:szCs w:val="20"/>
              </w:rPr>
              <w:t>)</w:t>
            </w:r>
          </w:p>
        </w:tc>
        <w:tc>
          <w:tcPr>
            <w:tcW w:w="1568" w:type="dxa"/>
            <w:shd w:val="clear" w:color="auto" w:fill="auto"/>
            <w:noWrap/>
            <w:hideMark/>
          </w:tcPr>
          <w:p w:rsidR="00A45F97" w:rsidRPr="00A45F97" w:rsidRDefault="00A45F97" w:rsidP="00A45F97">
            <w:pPr>
              <w:spacing w:line="240" w:lineRule="auto"/>
              <w:jc w:val="both"/>
              <w:rPr>
                <w:rFonts w:asciiTheme="majorBidi" w:eastAsia="Times New Roman" w:hAnsiTheme="majorBidi" w:cstheme="majorBidi"/>
                <w:color w:val="000000"/>
                <w:sz w:val="20"/>
                <w:szCs w:val="20"/>
                <w:lang w:val="id-ID"/>
              </w:rPr>
            </w:pPr>
            <w:r w:rsidRPr="00A45F97">
              <w:rPr>
                <w:rFonts w:asciiTheme="majorBidi" w:eastAsia="Times New Roman" w:hAnsiTheme="majorBidi" w:cstheme="majorBidi"/>
                <w:color w:val="000000"/>
                <w:sz w:val="20"/>
                <w:szCs w:val="20"/>
              </w:rPr>
              <w:t>0,000</w:t>
            </w:r>
            <w:r w:rsidRPr="00A45F97">
              <w:rPr>
                <w:rFonts w:asciiTheme="majorBidi" w:eastAsia="Times New Roman" w:hAnsiTheme="majorBidi" w:cstheme="majorBidi"/>
                <w:color w:val="000000"/>
                <w:sz w:val="20"/>
                <w:szCs w:val="20"/>
                <w:lang w:val="id-ID"/>
              </w:rPr>
              <w:t>0</w:t>
            </w:r>
          </w:p>
        </w:tc>
        <w:tc>
          <w:tcPr>
            <w:tcW w:w="2063" w:type="dxa"/>
            <w:shd w:val="clear" w:color="auto" w:fill="auto"/>
            <w:noWrap/>
            <w:hideMark/>
          </w:tcPr>
          <w:p w:rsidR="00A45F97" w:rsidRPr="00A45F97" w:rsidRDefault="00A45F97" w:rsidP="00A45F97">
            <w:pPr>
              <w:spacing w:line="240" w:lineRule="auto"/>
              <w:jc w:val="both"/>
              <w:rPr>
                <w:rFonts w:asciiTheme="majorBidi" w:eastAsia="Times New Roman" w:hAnsiTheme="majorBidi" w:cstheme="majorBidi"/>
                <w:color w:val="000000"/>
                <w:sz w:val="20"/>
                <w:szCs w:val="20"/>
              </w:rPr>
            </w:pPr>
            <w:r w:rsidRPr="00A45F97">
              <w:rPr>
                <w:rFonts w:asciiTheme="majorBidi" w:eastAsia="Times New Roman" w:hAnsiTheme="majorBidi" w:cstheme="majorBidi"/>
                <w:color w:val="000000"/>
                <w:sz w:val="20"/>
                <w:szCs w:val="20"/>
                <w:lang w:val="id-ID"/>
              </w:rPr>
              <w:t>Stasioner Level</w:t>
            </w:r>
            <w:r w:rsidRPr="00A45F97">
              <w:rPr>
                <w:rFonts w:asciiTheme="majorBidi" w:eastAsia="Times New Roman" w:hAnsiTheme="majorBidi" w:cstheme="majorBidi"/>
                <w:color w:val="000000"/>
                <w:sz w:val="20"/>
                <w:szCs w:val="20"/>
              </w:rPr>
              <w:t> </w:t>
            </w:r>
          </w:p>
        </w:tc>
      </w:tr>
    </w:tbl>
    <w:p w:rsidR="00A45F97" w:rsidRPr="00A45F97" w:rsidRDefault="00A45F97" w:rsidP="00A45F97">
      <w:pPr>
        <w:spacing w:line="240" w:lineRule="auto"/>
        <w:jc w:val="both"/>
        <w:rPr>
          <w:rFonts w:asciiTheme="majorBidi" w:hAnsiTheme="majorBidi" w:cstheme="majorBidi"/>
          <w:sz w:val="20"/>
          <w:szCs w:val="20"/>
        </w:rPr>
      </w:pPr>
      <w:r w:rsidRPr="00A45F97">
        <w:rPr>
          <w:rFonts w:asciiTheme="majorBidi" w:hAnsiTheme="majorBidi" w:cstheme="majorBidi"/>
          <w:sz w:val="20"/>
          <w:szCs w:val="20"/>
        </w:rPr>
        <w:t>Sumber: Data diolah (2015)</w:t>
      </w:r>
    </w:p>
    <w:p w:rsidR="00A45F97" w:rsidRPr="00A45F97" w:rsidRDefault="00A45F97" w:rsidP="00A45F97">
      <w:pPr>
        <w:spacing w:line="240" w:lineRule="auto"/>
        <w:ind w:firstLine="720"/>
        <w:jc w:val="both"/>
        <w:rPr>
          <w:rFonts w:asciiTheme="majorBidi" w:hAnsiTheme="majorBidi" w:cstheme="majorBidi"/>
          <w:i/>
          <w:sz w:val="20"/>
          <w:szCs w:val="20"/>
        </w:rPr>
      </w:pPr>
    </w:p>
    <w:p w:rsidR="00A45F97" w:rsidRDefault="00A45F97" w:rsidP="00A45F97">
      <w:pPr>
        <w:spacing w:line="240" w:lineRule="auto"/>
        <w:ind w:firstLine="720"/>
        <w:jc w:val="both"/>
        <w:rPr>
          <w:rFonts w:asciiTheme="majorBidi" w:hAnsiTheme="majorBidi" w:cstheme="majorBidi"/>
          <w:sz w:val="20"/>
          <w:szCs w:val="20"/>
        </w:rPr>
      </w:pPr>
      <w:r w:rsidRPr="00A45F97">
        <w:rPr>
          <w:rFonts w:asciiTheme="majorBidi" w:hAnsiTheme="majorBidi" w:cstheme="majorBidi"/>
          <w:sz w:val="20"/>
          <w:szCs w:val="20"/>
        </w:rPr>
        <w:t xml:space="preserve">Berdasarkan hasil pengujian stasioner residual, dinyatakan jika residual stasioner pada derajat level. Artinya terdapat hubungan keseimbangan jangka panjang antara variabel. Uji Kointegrasi </w:t>
      </w:r>
      <w:r w:rsidRPr="00A45F97">
        <w:rPr>
          <w:rFonts w:asciiTheme="majorBidi" w:hAnsiTheme="majorBidi" w:cstheme="majorBidi"/>
          <w:sz w:val="20"/>
          <w:szCs w:val="20"/>
        </w:rPr>
        <w:lastRenderedPageBreak/>
        <w:t xml:space="preserve">dilakukan untuk memperoleh hubungan jangka panjang yang stabil antara variabel – variabel yang terintegrasi pada derajat yang </w:t>
      </w:r>
      <w:proofErr w:type="gramStart"/>
      <w:r w:rsidRPr="00A45F97">
        <w:rPr>
          <w:rFonts w:asciiTheme="majorBidi" w:hAnsiTheme="majorBidi" w:cstheme="majorBidi"/>
          <w:sz w:val="20"/>
          <w:szCs w:val="20"/>
        </w:rPr>
        <w:t>sama</w:t>
      </w:r>
      <w:proofErr w:type="gramEnd"/>
      <w:r w:rsidRPr="00A45F97">
        <w:rPr>
          <w:rFonts w:asciiTheme="majorBidi" w:hAnsiTheme="majorBidi" w:cstheme="majorBidi"/>
          <w:sz w:val="20"/>
          <w:szCs w:val="20"/>
        </w:rPr>
        <w:t xml:space="preserve">. </w:t>
      </w:r>
      <w:r w:rsidRPr="00A45F97">
        <w:rPr>
          <w:rFonts w:asciiTheme="majorBidi" w:hAnsiTheme="majorBidi" w:cstheme="majorBidi"/>
          <w:sz w:val="20"/>
          <w:szCs w:val="20"/>
          <w:lang w:val="id-ID"/>
        </w:rPr>
        <w:t xml:space="preserve">Selain itu, uji kointegrasi </w:t>
      </w:r>
      <w:r w:rsidRPr="00A45F97">
        <w:rPr>
          <w:rFonts w:asciiTheme="majorBidi" w:hAnsiTheme="majorBidi" w:cstheme="majorBidi"/>
          <w:sz w:val="20"/>
          <w:szCs w:val="20"/>
        </w:rPr>
        <w:t xml:space="preserve">menunjukkan juga bahwa terdapat keseimbangan jangka panjang antara variabel </w:t>
      </w:r>
      <w:r w:rsidRPr="00A45F97">
        <w:rPr>
          <w:rFonts w:asciiTheme="majorBidi" w:hAnsiTheme="majorBidi" w:cstheme="majorBidi"/>
          <w:i/>
          <w:sz w:val="20"/>
          <w:szCs w:val="20"/>
          <w:lang w:val="id-ID"/>
        </w:rPr>
        <w:t>return</w:t>
      </w:r>
      <w:r w:rsidRPr="00A45F97">
        <w:rPr>
          <w:rFonts w:asciiTheme="majorBidi" w:hAnsiTheme="majorBidi" w:cstheme="majorBidi"/>
          <w:sz w:val="20"/>
          <w:szCs w:val="20"/>
          <w:lang w:val="id-ID"/>
        </w:rPr>
        <w:t xml:space="preserve"> saham</w:t>
      </w:r>
      <w:r w:rsidRPr="00A45F97">
        <w:rPr>
          <w:rFonts w:asciiTheme="majorBidi" w:hAnsiTheme="majorBidi" w:cstheme="majorBidi"/>
          <w:sz w:val="20"/>
          <w:szCs w:val="20"/>
        </w:rPr>
        <w:t xml:space="preserve">, </w:t>
      </w:r>
      <w:r w:rsidRPr="00A45F97">
        <w:rPr>
          <w:rFonts w:asciiTheme="majorBidi" w:hAnsiTheme="majorBidi" w:cstheme="majorBidi"/>
          <w:sz w:val="20"/>
          <w:szCs w:val="20"/>
          <w:lang w:val="id-ID"/>
        </w:rPr>
        <w:t>inflasi</w:t>
      </w:r>
      <w:r w:rsidRPr="00A45F97">
        <w:rPr>
          <w:rFonts w:asciiTheme="majorBidi" w:hAnsiTheme="majorBidi" w:cstheme="majorBidi"/>
          <w:sz w:val="20"/>
          <w:szCs w:val="20"/>
        </w:rPr>
        <w:t xml:space="preserve">, </w:t>
      </w:r>
      <w:r w:rsidRPr="00A45F97">
        <w:rPr>
          <w:rFonts w:asciiTheme="majorBidi" w:hAnsiTheme="majorBidi" w:cstheme="majorBidi"/>
          <w:sz w:val="20"/>
          <w:szCs w:val="20"/>
          <w:lang w:val="id-ID"/>
        </w:rPr>
        <w:t>nilai tukar</w:t>
      </w:r>
      <w:r w:rsidRPr="00A45F97">
        <w:rPr>
          <w:rFonts w:asciiTheme="majorBidi" w:hAnsiTheme="majorBidi" w:cstheme="majorBidi"/>
          <w:sz w:val="20"/>
          <w:szCs w:val="20"/>
        </w:rPr>
        <w:t xml:space="preserve">, </w:t>
      </w:r>
      <w:r w:rsidRPr="00A45F97">
        <w:rPr>
          <w:rFonts w:asciiTheme="majorBidi" w:hAnsiTheme="majorBidi" w:cstheme="majorBidi"/>
          <w:sz w:val="20"/>
          <w:szCs w:val="20"/>
          <w:lang w:val="id-ID"/>
        </w:rPr>
        <w:t>BI</w:t>
      </w:r>
      <w:r w:rsidRPr="00A45F97">
        <w:rPr>
          <w:rFonts w:asciiTheme="majorBidi" w:hAnsiTheme="majorBidi" w:cstheme="majorBidi"/>
          <w:i/>
          <w:sz w:val="20"/>
          <w:szCs w:val="20"/>
          <w:lang w:val="id-ID"/>
        </w:rPr>
        <w:t xml:space="preserve"> rate</w:t>
      </w:r>
      <w:r w:rsidRPr="00A45F97">
        <w:rPr>
          <w:rFonts w:asciiTheme="majorBidi" w:hAnsiTheme="majorBidi" w:cstheme="majorBidi"/>
          <w:sz w:val="20"/>
          <w:szCs w:val="20"/>
        </w:rPr>
        <w:t xml:space="preserve"> dan </w:t>
      </w:r>
      <w:r w:rsidRPr="00A45F97">
        <w:rPr>
          <w:rFonts w:asciiTheme="majorBidi" w:hAnsiTheme="majorBidi" w:cstheme="majorBidi"/>
          <w:sz w:val="20"/>
          <w:szCs w:val="20"/>
          <w:lang w:val="id-ID"/>
        </w:rPr>
        <w:t>pertumbuhan ekonomi</w:t>
      </w:r>
      <w:r w:rsidRPr="00A45F97">
        <w:rPr>
          <w:rFonts w:asciiTheme="majorBidi" w:hAnsiTheme="majorBidi" w:cstheme="majorBidi"/>
          <w:sz w:val="20"/>
          <w:szCs w:val="20"/>
        </w:rPr>
        <w:t>. Pada setiap periode jangka pendek, setiap variabel cenderung menyesuaikan untuk mencapai keseimbangan jangka panjang.</w:t>
      </w:r>
    </w:p>
    <w:p w:rsidR="002838E4" w:rsidRPr="002838E4" w:rsidRDefault="002838E4" w:rsidP="002838E4">
      <w:pPr>
        <w:pStyle w:val="Caption"/>
        <w:spacing w:after="0"/>
        <w:rPr>
          <w:rFonts w:asciiTheme="majorBidi" w:hAnsiTheme="majorBidi" w:cstheme="majorBidi"/>
          <w:color w:val="auto"/>
          <w:sz w:val="20"/>
          <w:szCs w:val="20"/>
        </w:rPr>
      </w:pPr>
      <w:r w:rsidRPr="002838E4">
        <w:rPr>
          <w:rFonts w:asciiTheme="majorBidi" w:hAnsiTheme="majorBidi" w:cstheme="majorBidi"/>
          <w:b w:val="0"/>
          <w:color w:val="auto"/>
          <w:sz w:val="20"/>
          <w:szCs w:val="20"/>
        </w:rPr>
        <w:t>Tabel 3:</w:t>
      </w:r>
      <w:r w:rsidRPr="002838E4">
        <w:rPr>
          <w:rFonts w:asciiTheme="majorBidi" w:hAnsiTheme="majorBidi" w:cstheme="majorBidi"/>
          <w:color w:val="auto"/>
          <w:sz w:val="20"/>
          <w:szCs w:val="20"/>
        </w:rPr>
        <w:t xml:space="preserve"> Hasil Estimasi Regresi dengan Metode </w:t>
      </w:r>
      <w:r w:rsidRPr="002838E4">
        <w:rPr>
          <w:rFonts w:asciiTheme="majorBidi" w:hAnsiTheme="majorBidi" w:cstheme="majorBidi"/>
          <w:i/>
          <w:color w:val="auto"/>
          <w:sz w:val="20"/>
          <w:szCs w:val="20"/>
        </w:rPr>
        <w:t>Error Correction ModelDomowitz - El Badawi</w:t>
      </w:r>
    </w:p>
    <w:p w:rsidR="002838E4" w:rsidRPr="00A45F97" w:rsidRDefault="002838E4" w:rsidP="00A45F97">
      <w:pPr>
        <w:spacing w:line="240" w:lineRule="auto"/>
        <w:ind w:firstLine="720"/>
        <w:jc w:val="both"/>
        <w:rPr>
          <w:rFonts w:asciiTheme="majorBidi" w:hAnsiTheme="majorBidi" w:cstheme="majorBidi"/>
          <w:sz w:val="20"/>
          <w:szCs w:val="20"/>
        </w:rPr>
      </w:pPr>
    </w:p>
    <w:tbl>
      <w:tblPr>
        <w:tblW w:w="7297" w:type="dxa"/>
        <w:tblInd w:w="93" w:type="dxa"/>
        <w:tblLook w:val="04A0"/>
      </w:tblPr>
      <w:tblGrid>
        <w:gridCol w:w="1652"/>
        <w:gridCol w:w="1403"/>
        <w:gridCol w:w="1496"/>
        <w:gridCol w:w="892"/>
        <w:gridCol w:w="1854"/>
      </w:tblGrid>
      <w:tr w:rsidR="002838E4" w:rsidRPr="00D026E8" w:rsidTr="00427E96">
        <w:trPr>
          <w:trHeight w:val="328"/>
        </w:trPr>
        <w:tc>
          <w:tcPr>
            <w:tcW w:w="165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2838E4" w:rsidRPr="00B04551" w:rsidRDefault="002838E4" w:rsidP="00427E96">
            <w:pPr>
              <w:jc w:val="center"/>
              <w:rPr>
                <w:rFonts w:ascii="Arial" w:eastAsia="Times New Roman" w:hAnsi="Arial" w:cs="Arial"/>
                <w:b/>
                <w:bCs/>
                <w:color w:val="000000"/>
              </w:rPr>
            </w:pPr>
            <w:r w:rsidRPr="00B04551">
              <w:rPr>
                <w:rFonts w:ascii="Arial" w:eastAsia="Times New Roman" w:hAnsi="Arial" w:cs="Arial"/>
                <w:b/>
                <w:bCs/>
                <w:color w:val="000000"/>
              </w:rPr>
              <w:t>Variabel</w:t>
            </w:r>
          </w:p>
        </w:tc>
        <w:tc>
          <w:tcPr>
            <w:tcW w:w="1403" w:type="dxa"/>
            <w:tcBorders>
              <w:top w:val="single" w:sz="4" w:space="0" w:color="auto"/>
              <w:left w:val="nil"/>
              <w:bottom w:val="single" w:sz="4" w:space="0" w:color="auto"/>
              <w:right w:val="single" w:sz="4" w:space="0" w:color="auto"/>
            </w:tcBorders>
            <w:shd w:val="clear" w:color="auto" w:fill="FFFF00"/>
            <w:noWrap/>
            <w:vAlign w:val="center"/>
            <w:hideMark/>
          </w:tcPr>
          <w:p w:rsidR="002838E4" w:rsidRPr="00B04551" w:rsidRDefault="002838E4" w:rsidP="00427E96">
            <w:pPr>
              <w:jc w:val="center"/>
              <w:rPr>
                <w:rFonts w:ascii="Arial" w:eastAsia="Times New Roman" w:hAnsi="Arial" w:cs="Arial"/>
                <w:b/>
                <w:bCs/>
                <w:color w:val="000000"/>
              </w:rPr>
            </w:pPr>
            <w:r w:rsidRPr="00D026E8">
              <w:rPr>
                <w:rFonts w:ascii="Arial" w:eastAsia="Times New Roman" w:hAnsi="Arial" w:cs="Arial"/>
                <w:b/>
                <w:bCs/>
                <w:color w:val="000000"/>
              </w:rPr>
              <w:t>Koefisien</w:t>
            </w:r>
          </w:p>
        </w:tc>
        <w:tc>
          <w:tcPr>
            <w:tcW w:w="1496" w:type="dxa"/>
            <w:tcBorders>
              <w:top w:val="single" w:sz="4" w:space="0" w:color="auto"/>
              <w:left w:val="nil"/>
              <w:bottom w:val="single" w:sz="4" w:space="0" w:color="auto"/>
              <w:right w:val="single" w:sz="4" w:space="0" w:color="auto"/>
            </w:tcBorders>
            <w:shd w:val="clear" w:color="auto" w:fill="FFFF00"/>
            <w:noWrap/>
            <w:vAlign w:val="center"/>
            <w:hideMark/>
          </w:tcPr>
          <w:p w:rsidR="002838E4" w:rsidRPr="00B04551" w:rsidRDefault="002838E4" w:rsidP="00427E96">
            <w:pPr>
              <w:jc w:val="center"/>
              <w:rPr>
                <w:rFonts w:ascii="Arial" w:eastAsia="Times New Roman" w:hAnsi="Arial" w:cs="Arial"/>
                <w:b/>
                <w:bCs/>
                <w:color w:val="000000"/>
              </w:rPr>
            </w:pPr>
            <w:r>
              <w:rPr>
                <w:rFonts w:ascii="Arial" w:eastAsia="Times New Roman" w:hAnsi="Arial" w:cs="Arial"/>
                <w:b/>
                <w:bCs/>
                <w:color w:val="000000"/>
              </w:rPr>
              <w:t>t-s</w:t>
            </w:r>
            <w:r w:rsidRPr="00B04551">
              <w:rPr>
                <w:rFonts w:ascii="Arial" w:eastAsia="Times New Roman" w:hAnsi="Arial" w:cs="Arial"/>
                <w:b/>
                <w:bCs/>
                <w:color w:val="000000"/>
              </w:rPr>
              <w:t>tatistik</w:t>
            </w:r>
          </w:p>
        </w:tc>
        <w:tc>
          <w:tcPr>
            <w:tcW w:w="892" w:type="dxa"/>
            <w:tcBorders>
              <w:top w:val="single" w:sz="4" w:space="0" w:color="auto"/>
              <w:left w:val="nil"/>
              <w:bottom w:val="single" w:sz="4" w:space="0" w:color="auto"/>
              <w:right w:val="single" w:sz="4" w:space="0" w:color="auto"/>
            </w:tcBorders>
            <w:shd w:val="clear" w:color="auto" w:fill="FFFF00"/>
            <w:noWrap/>
            <w:vAlign w:val="center"/>
          </w:tcPr>
          <w:p w:rsidR="002838E4" w:rsidRPr="00B04551" w:rsidRDefault="002838E4" w:rsidP="00427E96">
            <w:pPr>
              <w:jc w:val="center"/>
              <w:rPr>
                <w:rFonts w:ascii="Arial" w:eastAsia="Times New Roman" w:hAnsi="Arial" w:cs="Arial"/>
                <w:b/>
                <w:bCs/>
                <w:color w:val="000000"/>
              </w:rPr>
            </w:pPr>
            <w:r w:rsidRPr="00D026E8">
              <w:rPr>
                <w:rFonts w:ascii="Arial" w:eastAsia="Times New Roman" w:hAnsi="Arial" w:cs="Arial"/>
                <w:b/>
                <w:bCs/>
                <w:color w:val="000000"/>
              </w:rPr>
              <w:t>Prob</w:t>
            </w:r>
            <w:r>
              <w:rPr>
                <w:rFonts w:ascii="Arial" w:eastAsia="Times New Roman" w:hAnsi="Arial" w:cs="Arial"/>
                <w:b/>
                <w:bCs/>
                <w:color w:val="000000"/>
              </w:rPr>
              <w:t>.</w:t>
            </w:r>
          </w:p>
        </w:tc>
        <w:tc>
          <w:tcPr>
            <w:tcW w:w="1854" w:type="dxa"/>
            <w:tcBorders>
              <w:top w:val="single" w:sz="4" w:space="0" w:color="auto"/>
              <w:left w:val="nil"/>
              <w:bottom w:val="single" w:sz="4" w:space="0" w:color="auto"/>
              <w:right w:val="single" w:sz="4" w:space="0" w:color="auto"/>
            </w:tcBorders>
            <w:shd w:val="clear" w:color="auto" w:fill="FFFF00"/>
            <w:noWrap/>
            <w:vAlign w:val="center"/>
          </w:tcPr>
          <w:p w:rsidR="002838E4" w:rsidRPr="00B04551" w:rsidRDefault="002838E4" w:rsidP="00427E96">
            <w:pPr>
              <w:jc w:val="center"/>
              <w:rPr>
                <w:rFonts w:ascii="Arial" w:eastAsia="Times New Roman" w:hAnsi="Arial" w:cs="Arial"/>
                <w:b/>
                <w:bCs/>
                <w:color w:val="000000"/>
              </w:rPr>
            </w:pPr>
            <w:r>
              <w:rPr>
                <w:rFonts w:ascii="Arial" w:eastAsia="Times New Roman" w:hAnsi="Arial" w:cs="Arial"/>
                <w:b/>
                <w:bCs/>
                <w:color w:val="000000"/>
              </w:rPr>
              <w:t>Keterangan</w:t>
            </w:r>
          </w:p>
        </w:tc>
      </w:tr>
      <w:tr w:rsidR="002838E4" w:rsidRPr="00D026E8" w:rsidTr="00427E96">
        <w:trPr>
          <w:trHeight w:val="328"/>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2838E4" w:rsidRPr="00005E0C" w:rsidRDefault="002838E4" w:rsidP="00427E96">
            <w:pPr>
              <w:jc w:val="center"/>
              <w:rPr>
                <w:rFonts w:ascii="Arial" w:eastAsia="Times New Roman" w:hAnsi="Arial" w:cs="Arial"/>
                <w:color w:val="000000"/>
                <w:lang w:val="id-ID"/>
              </w:rPr>
            </w:pPr>
            <w:r w:rsidRPr="00B04551">
              <w:rPr>
                <w:rFonts w:ascii="Arial" w:eastAsia="Times New Roman" w:hAnsi="Arial" w:cs="Arial"/>
                <w:color w:val="000000"/>
              </w:rPr>
              <w:t>D(</w:t>
            </w:r>
            <w:r>
              <w:rPr>
                <w:rFonts w:ascii="Arial" w:eastAsia="Times New Roman" w:hAnsi="Arial" w:cs="Arial"/>
                <w:color w:val="000000"/>
                <w:lang w:val="id-ID"/>
              </w:rPr>
              <w:t>D(INF</w:t>
            </w:r>
            <w:r w:rsidRPr="00B04551">
              <w:rPr>
                <w:rFonts w:ascii="Arial" w:eastAsia="Times New Roman" w:hAnsi="Arial" w:cs="Arial"/>
                <w:color w:val="000000"/>
              </w:rPr>
              <w:t>)</w:t>
            </w:r>
            <w:r>
              <w:rPr>
                <w:rFonts w:ascii="Arial" w:eastAsia="Times New Roman" w:hAnsi="Arial" w:cs="Arial"/>
                <w:color w:val="000000"/>
                <w:lang w:val="id-ID"/>
              </w:rPr>
              <w:t>)</w:t>
            </w:r>
          </w:p>
        </w:tc>
        <w:tc>
          <w:tcPr>
            <w:tcW w:w="1403" w:type="dxa"/>
            <w:tcBorders>
              <w:top w:val="nil"/>
              <w:left w:val="nil"/>
              <w:bottom w:val="single" w:sz="4" w:space="0" w:color="auto"/>
              <w:right w:val="single" w:sz="4" w:space="0" w:color="auto"/>
            </w:tcBorders>
            <w:shd w:val="clear" w:color="auto" w:fill="auto"/>
            <w:noWrap/>
            <w:vAlign w:val="center"/>
            <w:hideMark/>
          </w:tcPr>
          <w:p w:rsidR="002838E4" w:rsidRPr="00634FF3" w:rsidRDefault="002838E4" w:rsidP="00427E96">
            <w:pPr>
              <w:jc w:val="center"/>
              <w:rPr>
                <w:rFonts w:ascii="Arial" w:eastAsia="Times New Roman" w:hAnsi="Arial" w:cs="Arial"/>
                <w:color w:val="000000"/>
                <w:lang w:val="id-ID"/>
              </w:rPr>
            </w:pPr>
            <w:r>
              <w:rPr>
                <w:rFonts w:ascii="Arial" w:eastAsia="Times New Roman" w:hAnsi="Arial" w:cs="Arial"/>
                <w:color w:val="000000"/>
                <w:lang w:val="id-ID"/>
              </w:rPr>
              <w:t>2.654267</w:t>
            </w:r>
          </w:p>
        </w:tc>
        <w:tc>
          <w:tcPr>
            <w:tcW w:w="1496" w:type="dxa"/>
            <w:tcBorders>
              <w:top w:val="nil"/>
              <w:left w:val="nil"/>
              <w:bottom w:val="single" w:sz="4" w:space="0" w:color="auto"/>
              <w:right w:val="single" w:sz="4" w:space="0" w:color="auto"/>
            </w:tcBorders>
            <w:shd w:val="clear" w:color="auto" w:fill="auto"/>
            <w:noWrap/>
            <w:vAlign w:val="center"/>
            <w:hideMark/>
          </w:tcPr>
          <w:p w:rsidR="002838E4" w:rsidRPr="000873DC" w:rsidRDefault="002838E4" w:rsidP="00427E96">
            <w:pPr>
              <w:jc w:val="right"/>
              <w:rPr>
                <w:rFonts w:ascii="Arial" w:eastAsia="Times New Roman" w:hAnsi="Arial" w:cs="Arial"/>
                <w:color w:val="000000"/>
                <w:lang w:val="id-ID"/>
              </w:rPr>
            </w:pPr>
            <w:r>
              <w:rPr>
                <w:rFonts w:ascii="Arial" w:eastAsia="Times New Roman" w:hAnsi="Arial" w:cs="Arial"/>
                <w:color w:val="000000"/>
                <w:lang w:val="id-ID"/>
              </w:rPr>
              <w:t>1.087461</w:t>
            </w:r>
          </w:p>
        </w:tc>
        <w:tc>
          <w:tcPr>
            <w:tcW w:w="892" w:type="dxa"/>
            <w:tcBorders>
              <w:top w:val="nil"/>
              <w:left w:val="nil"/>
              <w:bottom w:val="single" w:sz="4" w:space="0" w:color="auto"/>
              <w:right w:val="single" w:sz="4" w:space="0" w:color="auto"/>
            </w:tcBorders>
            <w:shd w:val="clear" w:color="auto" w:fill="auto"/>
            <w:noWrap/>
            <w:vAlign w:val="center"/>
          </w:tcPr>
          <w:p w:rsidR="002838E4" w:rsidRPr="000873DC" w:rsidRDefault="002838E4" w:rsidP="00427E96">
            <w:pPr>
              <w:jc w:val="right"/>
              <w:rPr>
                <w:rFonts w:ascii="Arial" w:eastAsia="Times New Roman" w:hAnsi="Arial" w:cs="Arial"/>
                <w:color w:val="000000"/>
                <w:lang w:val="id-ID"/>
              </w:rPr>
            </w:pPr>
            <w:r>
              <w:rPr>
                <w:rFonts w:ascii="Arial" w:eastAsia="Times New Roman" w:hAnsi="Arial" w:cs="Arial"/>
                <w:color w:val="000000"/>
              </w:rPr>
              <w:t>0.</w:t>
            </w:r>
            <w:r>
              <w:rPr>
                <w:rFonts w:ascii="Arial" w:eastAsia="Times New Roman" w:hAnsi="Arial" w:cs="Arial"/>
                <w:color w:val="000000"/>
                <w:lang w:val="id-ID"/>
              </w:rPr>
              <w:t>2868</w:t>
            </w:r>
          </w:p>
        </w:tc>
        <w:tc>
          <w:tcPr>
            <w:tcW w:w="1854" w:type="dxa"/>
            <w:tcBorders>
              <w:top w:val="nil"/>
              <w:left w:val="nil"/>
              <w:bottom w:val="single" w:sz="4" w:space="0" w:color="auto"/>
              <w:right w:val="single" w:sz="4" w:space="0" w:color="auto"/>
            </w:tcBorders>
            <w:shd w:val="clear" w:color="auto" w:fill="auto"/>
            <w:noWrap/>
            <w:vAlign w:val="center"/>
          </w:tcPr>
          <w:p w:rsidR="002838E4" w:rsidRPr="00B04551" w:rsidRDefault="002838E4" w:rsidP="00427E96">
            <w:pPr>
              <w:jc w:val="center"/>
              <w:rPr>
                <w:rFonts w:ascii="Arial" w:eastAsia="Times New Roman" w:hAnsi="Arial" w:cs="Arial"/>
                <w:color w:val="000000"/>
              </w:rPr>
            </w:pPr>
            <w:r>
              <w:rPr>
                <w:rFonts w:ascii="Arial" w:eastAsia="Times New Roman" w:hAnsi="Arial" w:cs="Arial"/>
                <w:color w:val="000000"/>
              </w:rPr>
              <w:t>Tidak Signifikan</w:t>
            </w:r>
          </w:p>
        </w:tc>
      </w:tr>
      <w:tr w:rsidR="002838E4" w:rsidRPr="00D026E8" w:rsidTr="00427E96">
        <w:trPr>
          <w:trHeight w:val="328"/>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2838E4" w:rsidRPr="00005E0C" w:rsidRDefault="002838E4" w:rsidP="00427E96">
            <w:pPr>
              <w:jc w:val="center"/>
              <w:rPr>
                <w:rFonts w:ascii="Arial" w:eastAsia="Times New Roman" w:hAnsi="Arial" w:cs="Arial"/>
                <w:color w:val="000000"/>
                <w:lang w:val="id-ID"/>
              </w:rPr>
            </w:pPr>
            <w:r w:rsidRPr="00B04551">
              <w:rPr>
                <w:rFonts w:ascii="Arial" w:eastAsia="Times New Roman" w:hAnsi="Arial" w:cs="Arial"/>
                <w:color w:val="000000"/>
              </w:rPr>
              <w:t>D(D</w:t>
            </w:r>
            <w:r>
              <w:rPr>
                <w:rFonts w:ascii="Arial" w:eastAsia="Times New Roman" w:hAnsi="Arial" w:cs="Arial"/>
                <w:color w:val="000000"/>
                <w:lang w:val="id-ID"/>
              </w:rPr>
              <w:t>(NT</w:t>
            </w:r>
            <w:r w:rsidRPr="00B04551">
              <w:rPr>
                <w:rFonts w:ascii="Arial" w:eastAsia="Times New Roman" w:hAnsi="Arial" w:cs="Arial"/>
                <w:color w:val="000000"/>
              </w:rPr>
              <w:t>)</w:t>
            </w:r>
            <w:r>
              <w:rPr>
                <w:rFonts w:ascii="Arial" w:eastAsia="Times New Roman" w:hAnsi="Arial" w:cs="Arial"/>
                <w:color w:val="000000"/>
                <w:lang w:val="id-ID"/>
              </w:rPr>
              <w:t>)</w:t>
            </w:r>
          </w:p>
        </w:tc>
        <w:tc>
          <w:tcPr>
            <w:tcW w:w="1403" w:type="dxa"/>
            <w:tcBorders>
              <w:top w:val="nil"/>
              <w:left w:val="nil"/>
              <w:bottom w:val="single" w:sz="4" w:space="0" w:color="auto"/>
              <w:right w:val="single" w:sz="4" w:space="0" w:color="auto"/>
            </w:tcBorders>
            <w:shd w:val="clear" w:color="auto" w:fill="auto"/>
            <w:noWrap/>
            <w:vAlign w:val="center"/>
            <w:hideMark/>
          </w:tcPr>
          <w:p w:rsidR="002838E4" w:rsidRPr="00634FF3" w:rsidRDefault="002838E4" w:rsidP="00427E96">
            <w:pPr>
              <w:jc w:val="right"/>
              <w:rPr>
                <w:rFonts w:ascii="Arial" w:eastAsia="Times New Roman" w:hAnsi="Arial" w:cs="Arial"/>
                <w:color w:val="000000"/>
                <w:lang w:val="id-ID"/>
              </w:rPr>
            </w:pPr>
            <w:r>
              <w:rPr>
                <w:rFonts w:ascii="Arial" w:eastAsia="Times New Roman" w:hAnsi="Arial" w:cs="Arial"/>
                <w:color w:val="000000"/>
                <w:lang w:val="id-ID"/>
              </w:rPr>
              <w:t>-429.2557</w:t>
            </w:r>
          </w:p>
        </w:tc>
        <w:tc>
          <w:tcPr>
            <w:tcW w:w="1496" w:type="dxa"/>
            <w:tcBorders>
              <w:top w:val="nil"/>
              <w:left w:val="nil"/>
              <w:bottom w:val="single" w:sz="4" w:space="0" w:color="auto"/>
              <w:right w:val="single" w:sz="4" w:space="0" w:color="auto"/>
            </w:tcBorders>
            <w:shd w:val="clear" w:color="auto" w:fill="auto"/>
            <w:noWrap/>
            <w:vAlign w:val="center"/>
            <w:hideMark/>
          </w:tcPr>
          <w:p w:rsidR="002838E4" w:rsidRPr="000873DC" w:rsidRDefault="002838E4" w:rsidP="00427E96">
            <w:pPr>
              <w:jc w:val="right"/>
              <w:rPr>
                <w:rFonts w:ascii="Arial" w:eastAsia="Times New Roman" w:hAnsi="Arial" w:cs="Arial"/>
                <w:color w:val="000000"/>
                <w:lang w:val="id-ID"/>
              </w:rPr>
            </w:pPr>
            <w:r>
              <w:rPr>
                <w:rFonts w:ascii="Arial" w:eastAsia="Times New Roman" w:hAnsi="Arial" w:cs="Arial"/>
                <w:color w:val="000000"/>
                <w:lang w:val="id-ID"/>
              </w:rPr>
              <w:t>-1.701409</w:t>
            </w:r>
          </w:p>
        </w:tc>
        <w:tc>
          <w:tcPr>
            <w:tcW w:w="892" w:type="dxa"/>
            <w:tcBorders>
              <w:top w:val="nil"/>
              <w:left w:val="nil"/>
              <w:bottom w:val="single" w:sz="4" w:space="0" w:color="auto"/>
              <w:right w:val="single" w:sz="4" w:space="0" w:color="auto"/>
            </w:tcBorders>
            <w:shd w:val="clear" w:color="auto" w:fill="auto"/>
            <w:noWrap/>
            <w:vAlign w:val="center"/>
          </w:tcPr>
          <w:p w:rsidR="002838E4" w:rsidRPr="000873DC" w:rsidRDefault="002838E4" w:rsidP="00427E96">
            <w:pPr>
              <w:jc w:val="right"/>
              <w:rPr>
                <w:rFonts w:ascii="Arial" w:eastAsia="Times New Roman" w:hAnsi="Arial" w:cs="Arial"/>
                <w:color w:val="000000"/>
                <w:lang w:val="id-ID"/>
              </w:rPr>
            </w:pPr>
            <w:r>
              <w:rPr>
                <w:rFonts w:ascii="Arial" w:eastAsia="Times New Roman" w:hAnsi="Arial" w:cs="Arial"/>
                <w:color w:val="000000"/>
              </w:rPr>
              <w:t>0.</w:t>
            </w:r>
            <w:r>
              <w:rPr>
                <w:rFonts w:ascii="Arial" w:eastAsia="Times New Roman" w:hAnsi="Arial" w:cs="Arial"/>
                <w:color w:val="000000"/>
                <w:lang w:val="id-ID"/>
              </w:rPr>
              <w:t>1008</w:t>
            </w:r>
          </w:p>
        </w:tc>
        <w:tc>
          <w:tcPr>
            <w:tcW w:w="1854" w:type="dxa"/>
            <w:tcBorders>
              <w:top w:val="nil"/>
              <w:left w:val="nil"/>
              <w:bottom w:val="single" w:sz="4" w:space="0" w:color="auto"/>
              <w:right w:val="single" w:sz="4" w:space="0" w:color="auto"/>
            </w:tcBorders>
            <w:shd w:val="clear" w:color="auto" w:fill="auto"/>
            <w:noWrap/>
            <w:vAlign w:val="center"/>
          </w:tcPr>
          <w:p w:rsidR="002838E4" w:rsidRPr="00B04551" w:rsidRDefault="002838E4" w:rsidP="00427E96">
            <w:pPr>
              <w:jc w:val="center"/>
              <w:rPr>
                <w:rFonts w:ascii="Arial" w:eastAsia="Times New Roman" w:hAnsi="Arial" w:cs="Arial"/>
                <w:color w:val="000000"/>
              </w:rPr>
            </w:pPr>
            <w:r>
              <w:rPr>
                <w:rFonts w:ascii="Arial" w:eastAsia="Times New Roman" w:hAnsi="Arial" w:cs="Arial"/>
                <w:color w:val="000000"/>
              </w:rPr>
              <w:t>Tidak Signifikan</w:t>
            </w:r>
          </w:p>
        </w:tc>
      </w:tr>
      <w:tr w:rsidR="002838E4" w:rsidRPr="00D026E8" w:rsidTr="00427E96">
        <w:trPr>
          <w:trHeight w:val="328"/>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2838E4" w:rsidRPr="00005E0C" w:rsidRDefault="002838E4" w:rsidP="00427E96">
            <w:pPr>
              <w:jc w:val="center"/>
              <w:rPr>
                <w:rFonts w:ascii="Arial" w:eastAsia="Times New Roman" w:hAnsi="Arial" w:cs="Arial"/>
                <w:color w:val="000000"/>
                <w:lang w:val="id-ID"/>
              </w:rPr>
            </w:pPr>
            <w:r w:rsidRPr="00B04551">
              <w:rPr>
                <w:rFonts w:ascii="Arial" w:eastAsia="Times New Roman" w:hAnsi="Arial" w:cs="Arial"/>
                <w:color w:val="000000"/>
              </w:rPr>
              <w:t>D(</w:t>
            </w:r>
            <w:r>
              <w:rPr>
                <w:rFonts w:ascii="Arial" w:eastAsia="Times New Roman" w:hAnsi="Arial" w:cs="Arial"/>
                <w:color w:val="000000"/>
                <w:lang w:val="id-ID"/>
              </w:rPr>
              <w:t>D(BIrate</w:t>
            </w:r>
            <w:r w:rsidRPr="00B04551">
              <w:rPr>
                <w:rFonts w:ascii="Arial" w:eastAsia="Times New Roman" w:hAnsi="Arial" w:cs="Arial"/>
                <w:color w:val="000000"/>
              </w:rPr>
              <w:t>)</w:t>
            </w:r>
            <w:r>
              <w:rPr>
                <w:rFonts w:ascii="Arial" w:eastAsia="Times New Roman" w:hAnsi="Arial" w:cs="Arial"/>
                <w:color w:val="000000"/>
                <w:lang w:val="id-ID"/>
              </w:rPr>
              <w:t>)</w:t>
            </w:r>
          </w:p>
        </w:tc>
        <w:tc>
          <w:tcPr>
            <w:tcW w:w="1403" w:type="dxa"/>
            <w:tcBorders>
              <w:top w:val="nil"/>
              <w:left w:val="nil"/>
              <w:bottom w:val="single" w:sz="4" w:space="0" w:color="auto"/>
              <w:right w:val="single" w:sz="4" w:space="0" w:color="auto"/>
            </w:tcBorders>
            <w:shd w:val="clear" w:color="auto" w:fill="auto"/>
            <w:noWrap/>
            <w:vAlign w:val="center"/>
            <w:hideMark/>
          </w:tcPr>
          <w:p w:rsidR="002838E4" w:rsidRPr="00634FF3" w:rsidRDefault="002838E4" w:rsidP="00427E96">
            <w:pPr>
              <w:jc w:val="right"/>
              <w:rPr>
                <w:rFonts w:ascii="Arial" w:eastAsia="Times New Roman" w:hAnsi="Arial" w:cs="Arial"/>
                <w:color w:val="000000"/>
                <w:lang w:val="id-ID"/>
              </w:rPr>
            </w:pPr>
            <w:r>
              <w:rPr>
                <w:rFonts w:ascii="Arial" w:eastAsia="Times New Roman" w:hAnsi="Arial" w:cs="Arial"/>
                <w:color w:val="000000"/>
                <w:lang w:val="id-ID"/>
              </w:rPr>
              <w:t>-20.15811</w:t>
            </w:r>
          </w:p>
        </w:tc>
        <w:tc>
          <w:tcPr>
            <w:tcW w:w="1496" w:type="dxa"/>
            <w:tcBorders>
              <w:top w:val="nil"/>
              <w:left w:val="nil"/>
              <w:bottom w:val="single" w:sz="4" w:space="0" w:color="auto"/>
              <w:right w:val="single" w:sz="4" w:space="0" w:color="auto"/>
            </w:tcBorders>
            <w:shd w:val="clear" w:color="auto" w:fill="auto"/>
            <w:noWrap/>
            <w:vAlign w:val="center"/>
            <w:hideMark/>
          </w:tcPr>
          <w:p w:rsidR="002838E4" w:rsidRPr="000873DC" w:rsidRDefault="002838E4" w:rsidP="00427E96">
            <w:pPr>
              <w:rPr>
                <w:rFonts w:ascii="Arial" w:eastAsia="Times New Roman" w:hAnsi="Arial" w:cs="Arial"/>
                <w:color w:val="000000"/>
                <w:lang w:val="id-ID"/>
              </w:rPr>
            </w:pPr>
            <w:r>
              <w:rPr>
                <w:rFonts w:ascii="Arial" w:eastAsia="Times New Roman" w:hAnsi="Arial" w:cs="Arial"/>
                <w:color w:val="000000"/>
                <w:lang w:val="id-ID"/>
              </w:rPr>
              <w:t xml:space="preserve">  -1.727038</w:t>
            </w:r>
          </w:p>
        </w:tc>
        <w:tc>
          <w:tcPr>
            <w:tcW w:w="892" w:type="dxa"/>
            <w:tcBorders>
              <w:top w:val="nil"/>
              <w:left w:val="nil"/>
              <w:bottom w:val="single" w:sz="4" w:space="0" w:color="auto"/>
              <w:right w:val="single" w:sz="4" w:space="0" w:color="auto"/>
            </w:tcBorders>
            <w:shd w:val="clear" w:color="auto" w:fill="auto"/>
            <w:noWrap/>
            <w:vAlign w:val="center"/>
          </w:tcPr>
          <w:p w:rsidR="002838E4" w:rsidRPr="000873DC" w:rsidRDefault="002838E4" w:rsidP="00427E96">
            <w:pPr>
              <w:jc w:val="right"/>
              <w:rPr>
                <w:rFonts w:ascii="Arial" w:eastAsia="Times New Roman" w:hAnsi="Arial" w:cs="Arial"/>
                <w:color w:val="000000"/>
                <w:lang w:val="id-ID"/>
              </w:rPr>
            </w:pPr>
            <w:r>
              <w:rPr>
                <w:rFonts w:ascii="Arial" w:eastAsia="Times New Roman" w:hAnsi="Arial" w:cs="Arial"/>
                <w:color w:val="000000"/>
              </w:rPr>
              <w:t>0.</w:t>
            </w:r>
            <w:r>
              <w:rPr>
                <w:rFonts w:ascii="Arial" w:eastAsia="Times New Roman" w:hAnsi="Arial" w:cs="Arial"/>
                <w:color w:val="000000"/>
                <w:lang w:val="id-ID"/>
              </w:rPr>
              <w:t>0960</w:t>
            </w:r>
          </w:p>
        </w:tc>
        <w:tc>
          <w:tcPr>
            <w:tcW w:w="1854" w:type="dxa"/>
            <w:tcBorders>
              <w:top w:val="nil"/>
              <w:left w:val="nil"/>
              <w:bottom w:val="single" w:sz="4" w:space="0" w:color="auto"/>
              <w:right w:val="single" w:sz="4" w:space="0" w:color="auto"/>
            </w:tcBorders>
            <w:shd w:val="clear" w:color="auto" w:fill="auto"/>
            <w:noWrap/>
            <w:vAlign w:val="center"/>
          </w:tcPr>
          <w:p w:rsidR="002838E4" w:rsidRPr="00B04551" w:rsidRDefault="002838E4" w:rsidP="00427E96">
            <w:pPr>
              <w:jc w:val="center"/>
              <w:rPr>
                <w:rFonts w:ascii="Arial" w:eastAsia="Times New Roman" w:hAnsi="Arial" w:cs="Arial"/>
                <w:color w:val="000000"/>
              </w:rPr>
            </w:pPr>
            <w:r>
              <w:rPr>
                <w:rFonts w:ascii="Arial" w:eastAsia="Times New Roman" w:hAnsi="Arial" w:cs="Arial"/>
                <w:color w:val="000000"/>
              </w:rPr>
              <w:t>Signifikan</w:t>
            </w:r>
          </w:p>
        </w:tc>
      </w:tr>
      <w:tr w:rsidR="002838E4" w:rsidRPr="00D026E8" w:rsidTr="00427E96">
        <w:trPr>
          <w:trHeight w:val="328"/>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2838E4" w:rsidRPr="00634FF3" w:rsidRDefault="002838E4" w:rsidP="00427E96">
            <w:pPr>
              <w:jc w:val="center"/>
              <w:rPr>
                <w:rFonts w:ascii="Arial" w:eastAsia="Times New Roman" w:hAnsi="Arial" w:cs="Arial"/>
                <w:color w:val="000000"/>
                <w:lang w:val="id-ID"/>
              </w:rPr>
            </w:pPr>
            <w:r w:rsidRPr="00B04551">
              <w:rPr>
                <w:rFonts w:ascii="Arial" w:eastAsia="Times New Roman" w:hAnsi="Arial" w:cs="Arial"/>
                <w:color w:val="000000"/>
              </w:rPr>
              <w:t>D(</w:t>
            </w:r>
            <w:r>
              <w:rPr>
                <w:rFonts w:ascii="Arial" w:eastAsia="Times New Roman" w:hAnsi="Arial" w:cs="Arial"/>
                <w:color w:val="000000"/>
                <w:lang w:val="id-ID"/>
              </w:rPr>
              <w:t>D(PE</w:t>
            </w:r>
            <w:r w:rsidRPr="00B04551">
              <w:rPr>
                <w:rFonts w:ascii="Arial" w:eastAsia="Times New Roman" w:hAnsi="Arial" w:cs="Arial"/>
                <w:color w:val="000000"/>
              </w:rPr>
              <w:t>)</w:t>
            </w:r>
            <w:r>
              <w:rPr>
                <w:rFonts w:ascii="Arial" w:eastAsia="Times New Roman" w:hAnsi="Arial" w:cs="Arial"/>
                <w:color w:val="000000"/>
                <w:lang w:val="id-ID"/>
              </w:rPr>
              <w:t>)</w:t>
            </w:r>
          </w:p>
        </w:tc>
        <w:tc>
          <w:tcPr>
            <w:tcW w:w="1403" w:type="dxa"/>
            <w:tcBorders>
              <w:top w:val="nil"/>
              <w:left w:val="nil"/>
              <w:bottom w:val="single" w:sz="4" w:space="0" w:color="auto"/>
              <w:right w:val="single" w:sz="4" w:space="0" w:color="auto"/>
            </w:tcBorders>
            <w:shd w:val="clear" w:color="auto" w:fill="auto"/>
            <w:noWrap/>
            <w:vAlign w:val="center"/>
            <w:hideMark/>
          </w:tcPr>
          <w:p w:rsidR="002838E4" w:rsidRPr="00634FF3" w:rsidRDefault="002838E4" w:rsidP="00427E96">
            <w:pPr>
              <w:jc w:val="right"/>
              <w:rPr>
                <w:rFonts w:ascii="Arial" w:eastAsia="Times New Roman" w:hAnsi="Arial" w:cs="Arial"/>
                <w:color w:val="000000"/>
                <w:lang w:val="id-ID"/>
              </w:rPr>
            </w:pPr>
            <w:r>
              <w:rPr>
                <w:rFonts w:ascii="Arial" w:eastAsia="Times New Roman" w:hAnsi="Arial" w:cs="Arial"/>
                <w:color w:val="000000"/>
              </w:rPr>
              <w:t>-</w:t>
            </w:r>
            <w:r>
              <w:rPr>
                <w:rFonts w:ascii="Arial" w:eastAsia="Times New Roman" w:hAnsi="Arial" w:cs="Arial"/>
                <w:color w:val="000000"/>
                <w:lang w:val="id-ID"/>
              </w:rPr>
              <w:t>3.637765</w:t>
            </w:r>
          </w:p>
        </w:tc>
        <w:tc>
          <w:tcPr>
            <w:tcW w:w="1496" w:type="dxa"/>
            <w:tcBorders>
              <w:top w:val="nil"/>
              <w:left w:val="nil"/>
              <w:bottom w:val="single" w:sz="4" w:space="0" w:color="auto"/>
              <w:right w:val="single" w:sz="4" w:space="0" w:color="auto"/>
            </w:tcBorders>
            <w:shd w:val="clear" w:color="auto" w:fill="auto"/>
            <w:noWrap/>
            <w:vAlign w:val="center"/>
            <w:hideMark/>
          </w:tcPr>
          <w:p w:rsidR="002838E4" w:rsidRPr="000873DC" w:rsidRDefault="002838E4" w:rsidP="00427E96">
            <w:pPr>
              <w:jc w:val="right"/>
              <w:rPr>
                <w:rFonts w:ascii="Arial" w:eastAsia="Times New Roman" w:hAnsi="Arial" w:cs="Arial"/>
                <w:color w:val="000000"/>
                <w:lang w:val="id-ID"/>
              </w:rPr>
            </w:pPr>
            <w:r>
              <w:rPr>
                <w:rFonts w:ascii="Arial" w:eastAsia="Times New Roman" w:hAnsi="Arial" w:cs="Arial"/>
                <w:color w:val="000000"/>
                <w:lang w:val="id-ID"/>
              </w:rPr>
              <w:t>-2.712990</w:t>
            </w:r>
          </w:p>
        </w:tc>
        <w:tc>
          <w:tcPr>
            <w:tcW w:w="892" w:type="dxa"/>
            <w:tcBorders>
              <w:top w:val="nil"/>
              <w:left w:val="nil"/>
              <w:bottom w:val="single" w:sz="4" w:space="0" w:color="auto"/>
              <w:right w:val="single" w:sz="4" w:space="0" w:color="auto"/>
            </w:tcBorders>
            <w:shd w:val="clear" w:color="auto" w:fill="auto"/>
            <w:noWrap/>
            <w:vAlign w:val="center"/>
          </w:tcPr>
          <w:p w:rsidR="002838E4" w:rsidRPr="000873DC" w:rsidRDefault="002838E4" w:rsidP="00427E96">
            <w:pPr>
              <w:jc w:val="right"/>
              <w:rPr>
                <w:rFonts w:ascii="Arial" w:eastAsia="Times New Roman" w:hAnsi="Arial" w:cs="Arial"/>
                <w:color w:val="000000"/>
                <w:lang w:val="id-ID"/>
              </w:rPr>
            </w:pPr>
            <w:r>
              <w:rPr>
                <w:rFonts w:ascii="Arial" w:eastAsia="Times New Roman" w:hAnsi="Arial" w:cs="Arial"/>
                <w:color w:val="000000"/>
              </w:rPr>
              <w:t>0.</w:t>
            </w:r>
            <w:r>
              <w:rPr>
                <w:rFonts w:ascii="Arial" w:eastAsia="Times New Roman" w:hAnsi="Arial" w:cs="Arial"/>
                <w:color w:val="000000"/>
                <w:lang w:val="id-ID"/>
              </w:rPr>
              <w:t>0117</w:t>
            </w:r>
          </w:p>
        </w:tc>
        <w:tc>
          <w:tcPr>
            <w:tcW w:w="1854" w:type="dxa"/>
            <w:tcBorders>
              <w:top w:val="nil"/>
              <w:left w:val="nil"/>
              <w:bottom w:val="single" w:sz="4" w:space="0" w:color="auto"/>
              <w:right w:val="single" w:sz="4" w:space="0" w:color="auto"/>
            </w:tcBorders>
            <w:shd w:val="clear" w:color="auto" w:fill="auto"/>
            <w:noWrap/>
            <w:vAlign w:val="center"/>
          </w:tcPr>
          <w:p w:rsidR="002838E4" w:rsidRPr="00B04551" w:rsidRDefault="002838E4" w:rsidP="00427E96">
            <w:pPr>
              <w:jc w:val="center"/>
              <w:rPr>
                <w:rFonts w:ascii="Arial" w:eastAsia="Times New Roman" w:hAnsi="Arial" w:cs="Arial"/>
                <w:color w:val="000000"/>
              </w:rPr>
            </w:pPr>
            <w:r>
              <w:rPr>
                <w:rFonts w:ascii="Arial" w:eastAsia="Times New Roman" w:hAnsi="Arial" w:cs="Arial"/>
                <w:color w:val="000000"/>
              </w:rPr>
              <w:t xml:space="preserve"> Signifikan</w:t>
            </w:r>
          </w:p>
        </w:tc>
      </w:tr>
      <w:tr w:rsidR="002838E4" w:rsidRPr="00D026E8" w:rsidTr="00427E96">
        <w:trPr>
          <w:trHeight w:val="328"/>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2838E4" w:rsidRPr="00B04551" w:rsidRDefault="002838E4" w:rsidP="00427E96">
            <w:pPr>
              <w:jc w:val="center"/>
              <w:rPr>
                <w:rFonts w:ascii="Arial" w:eastAsia="Times New Roman" w:hAnsi="Arial" w:cs="Arial"/>
                <w:color w:val="000000"/>
              </w:rPr>
            </w:pPr>
            <w:r>
              <w:rPr>
                <w:rFonts w:ascii="Arial" w:eastAsia="Times New Roman" w:hAnsi="Arial" w:cs="Arial"/>
                <w:color w:val="000000"/>
                <w:lang w:val="id-ID"/>
              </w:rPr>
              <w:t>INF</w:t>
            </w:r>
            <w:r w:rsidRPr="00B04551">
              <w:rPr>
                <w:rFonts w:ascii="Arial" w:eastAsia="Times New Roman" w:hAnsi="Arial" w:cs="Arial"/>
                <w:color w:val="000000"/>
              </w:rPr>
              <w:t>(-1)</w:t>
            </w:r>
          </w:p>
        </w:tc>
        <w:tc>
          <w:tcPr>
            <w:tcW w:w="1403" w:type="dxa"/>
            <w:tcBorders>
              <w:top w:val="nil"/>
              <w:left w:val="nil"/>
              <w:bottom w:val="single" w:sz="4" w:space="0" w:color="auto"/>
              <w:right w:val="single" w:sz="4" w:space="0" w:color="auto"/>
            </w:tcBorders>
            <w:shd w:val="clear" w:color="auto" w:fill="auto"/>
            <w:noWrap/>
            <w:vAlign w:val="center"/>
            <w:hideMark/>
          </w:tcPr>
          <w:p w:rsidR="002838E4" w:rsidRPr="00634FF3" w:rsidRDefault="002838E4" w:rsidP="00427E96">
            <w:pPr>
              <w:jc w:val="right"/>
              <w:rPr>
                <w:rFonts w:ascii="Arial" w:eastAsia="Times New Roman" w:hAnsi="Arial" w:cs="Arial"/>
                <w:color w:val="000000"/>
                <w:lang w:val="id-ID"/>
              </w:rPr>
            </w:pPr>
            <w:r>
              <w:rPr>
                <w:rFonts w:ascii="Arial" w:eastAsia="Times New Roman" w:hAnsi="Arial" w:cs="Arial"/>
                <w:color w:val="000000"/>
              </w:rPr>
              <w:t>-</w:t>
            </w:r>
            <w:r>
              <w:rPr>
                <w:rFonts w:ascii="Arial" w:eastAsia="Times New Roman" w:hAnsi="Arial" w:cs="Arial"/>
                <w:color w:val="000000"/>
                <w:lang w:val="id-ID"/>
              </w:rPr>
              <w:t>2.013002</w:t>
            </w:r>
          </w:p>
        </w:tc>
        <w:tc>
          <w:tcPr>
            <w:tcW w:w="1496" w:type="dxa"/>
            <w:tcBorders>
              <w:top w:val="nil"/>
              <w:left w:val="nil"/>
              <w:bottom w:val="single" w:sz="4" w:space="0" w:color="auto"/>
              <w:right w:val="single" w:sz="4" w:space="0" w:color="auto"/>
            </w:tcBorders>
            <w:shd w:val="clear" w:color="auto" w:fill="auto"/>
            <w:noWrap/>
            <w:vAlign w:val="center"/>
            <w:hideMark/>
          </w:tcPr>
          <w:p w:rsidR="002838E4" w:rsidRPr="00531C01" w:rsidRDefault="002838E4" w:rsidP="00427E96">
            <w:pPr>
              <w:jc w:val="right"/>
              <w:rPr>
                <w:rFonts w:ascii="Arial" w:eastAsia="Times New Roman" w:hAnsi="Arial" w:cs="Arial"/>
                <w:color w:val="000000"/>
                <w:lang w:val="id-ID"/>
              </w:rPr>
            </w:pPr>
            <w:r>
              <w:rPr>
                <w:rFonts w:ascii="Arial" w:eastAsia="Times New Roman" w:hAnsi="Arial" w:cs="Arial"/>
                <w:color w:val="000000"/>
              </w:rPr>
              <w:t>-</w:t>
            </w:r>
            <w:r>
              <w:rPr>
                <w:rFonts w:ascii="Arial" w:eastAsia="Times New Roman" w:hAnsi="Arial" w:cs="Arial"/>
                <w:color w:val="000000"/>
                <w:lang w:val="id-ID"/>
              </w:rPr>
              <w:t>0.768950</w:t>
            </w:r>
          </w:p>
        </w:tc>
        <w:tc>
          <w:tcPr>
            <w:tcW w:w="892" w:type="dxa"/>
            <w:tcBorders>
              <w:top w:val="nil"/>
              <w:left w:val="nil"/>
              <w:bottom w:val="single" w:sz="4" w:space="0" w:color="auto"/>
              <w:right w:val="single" w:sz="4" w:space="0" w:color="auto"/>
            </w:tcBorders>
            <w:shd w:val="clear" w:color="auto" w:fill="auto"/>
            <w:noWrap/>
            <w:vAlign w:val="center"/>
          </w:tcPr>
          <w:p w:rsidR="002838E4" w:rsidRPr="000873DC" w:rsidRDefault="002838E4" w:rsidP="00427E96">
            <w:pPr>
              <w:jc w:val="right"/>
              <w:rPr>
                <w:rFonts w:ascii="Arial" w:eastAsia="Times New Roman" w:hAnsi="Arial" w:cs="Arial"/>
                <w:color w:val="000000"/>
                <w:lang w:val="id-ID"/>
              </w:rPr>
            </w:pPr>
            <w:r>
              <w:rPr>
                <w:rFonts w:ascii="Arial" w:eastAsia="Times New Roman" w:hAnsi="Arial" w:cs="Arial"/>
                <w:color w:val="000000"/>
              </w:rPr>
              <w:t>0.</w:t>
            </w:r>
            <w:r>
              <w:rPr>
                <w:rFonts w:ascii="Arial" w:eastAsia="Times New Roman" w:hAnsi="Arial" w:cs="Arial"/>
                <w:color w:val="000000"/>
                <w:lang w:val="id-ID"/>
              </w:rPr>
              <w:t>4489</w:t>
            </w:r>
          </w:p>
        </w:tc>
        <w:tc>
          <w:tcPr>
            <w:tcW w:w="1854" w:type="dxa"/>
            <w:tcBorders>
              <w:top w:val="nil"/>
              <w:left w:val="nil"/>
              <w:bottom w:val="single" w:sz="4" w:space="0" w:color="auto"/>
              <w:right w:val="single" w:sz="4" w:space="0" w:color="auto"/>
            </w:tcBorders>
            <w:shd w:val="clear" w:color="auto" w:fill="auto"/>
            <w:noWrap/>
            <w:vAlign w:val="center"/>
          </w:tcPr>
          <w:p w:rsidR="002838E4" w:rsidRPr="00B04551" w:rsidRDefault="002838E4" w:rsidP="00427E96">
            <w:pPr>
              <w:jc w:val="center"/>
              <w:rPr>
                <w:rFonts w:ascii="Arial" w:eastAsia="Times New Roman" w:hAnsi="Arial" w:cs="Arial"/>
                <w:color w:val="000000"/>
              </w:rPr>
            </w:pPr>
            <w:r>
              <w:rPr>
                <w:rFonts w:ascii="Arial" w:eastAsia="Times New Roman" w:hAnsi="Arial" w:cs="Arial"/>
                <w:color w:val="000000"/>
                <w:lang w:val="id-ID"/>
              </w:rPr>
              <w:t xml:space="preserve">Tidak </w:t>
            </w:r>
            <w:r>
              <w:rPr>
                <w:rFonts w:ascii="Arial" w:eastAsia="Times New Roman" w:hAnsi="Arial" w:cs="Arial"/>
                <w:color w:val="000000"/>
              </w:rPr>
              <w:t>Signifikan</w:t>
            </w:r>
          </w:p>
        </w:tc>
      </w:tr>
      <w:tr w:rsidR="002838E4" w:rsidRPr="00D026E8" w:rsidTr="00427E96">
        <w:trPr>
          <w:trHeight w:val="328"/>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2838E4" w:rsidRPr="00B04551" w:rsidRDefault="002838E4" w:rsidP="00427E96">
            <w:pPr>
              <w:jc w:val="center"/>
              <w:rPr>
                <w:rFonts w:ascii="Arial" w:eastAsia="Times New Roman" w:hAnsi="Arial" w:cs="Arial"/>
                <w:color w:val="000000"/>
              </w:rPr>
            </w:pPr>
            <w:r>
              <w:rPr>
                <w:rFonts w:ascii="Arial" w:eastAsia="Times New Roman" w:hAnsi="Arial" w:cs="Arial"/>
                <w:color w:val="000000"/>
                <w:lang w:val="id-ID"/>
              </w:rPr>
              <w:t>NT</w:t>
            </w:r>
            <w:r w:rsidRPr="00B04551">
              <w:rPr>
                <w:rFonts w:ascii="Arial" w:eastAsia="Times New Roman" w:hAnsi="Arial" w:cs="Arial"/>
                <w:color w:val="000000"/>
              </w:rPr>
              <w:t>(-1)</w:t>
            </w:r>
          </w:p>
        </w:tc>
        <w:tc>
          <w:tcPr>
            <w:tcW w:w="1403" w:type="dxa"/>
            <w:tcBorders>
              <w:top w:val="nil"/>
              <w:left w:val="nil"/>
              <w:bottom w:val="single" w:sz="4" w:space="0" w:color="auto"/>
              <w:right w:val="single" w:sz="4" w:space="0" w:color="auto"/>
            </w:tcBorders>
            <w:shd w:val="clear" w:color="auto" w:fill="auto"/>
            <w:noWrap/>
            <w:vAlign w:val="center"/>
            <w:hideMark/>
          </w:tcPr>
          <w:p w:rsidR="002838E4" w:rsidRPr="00634FF3" w:rsidRDefault="002838E4" w:rsidP="00427E96">
            <w:pPr>
              <w:jc w:val="right"/>
              <w:rPr>
                <w:rFonts w:ascii="Arial" w:eastAsia="Times New Roman" w:hAnsi="Arial" w:cs="Arial"/>
                <w:color w:val="000000"/>
                <w:lang w:val="id-ID"/>
              </w:rPr>
            </w:pPr>
            <w:r>
              <w:rPr>
                <w:rFonts w:ascii="Arial" w:eastAsia="Times New Roman" w:hAnsi="Arial" w:cs="Arial"/>
                <w:color w:val="000000"/>
                <w:lang w:val="id-ID"/>
              </w:rPr>
              <w:t>62.41186</w:t>
            </w:r>
          </w:p>
        </w:tc>
        <w:tc>
          <w:tcPr>
            <w:tcW w:w="1496" w:type="dxa"/>
            <w:tcBorders>
              <w:top w:val="nil"/>
              <w:left w:val="nil"/>
              <w:bottom w:val="single" w:sz="4" w:space="0" w:color="auto"/>
              <w:right w:val="single" w:sz="4" w:space="0" w:color="auto"/>
            </w:tcBorders>
            <w:shd w:val="clear" w:color="auto" w:fill="auto"/>
            <w:noWrap/>
            <w:vAlign w:val="center"/>
            <w:hideMark/>
          </w:tcPr>
          <w:p w:rsidR="002838E4" w:rsidRPr="000873DC" w:rsidRDefault="002838E4" w:rsidP="00427E96">
            <w:pPr>
              <w:jc w:val="right"/>
              <w:rPr>
                <w:rFonts w:ascii="Arial" w:eastAsia="Times New Roman" w:hAnsi="Arial" w:cs="Arial"/>
                <w:color w:val="000000"/>
                <w:lang w:val="id-ID"/>
              </w:rPr>
            </w:pPr>
            <w:r>
              <w:rPr>
                <w:rFonts w:ascii="Arial" w:eastAsia="Times New Roman" w:hAnsi="Arial" w:cs="Arial"/>
                <w:color w:val="000000"/>
                <w:lang w:val="id-ID"/>
              </w:rPr>
              <w:t>0.255102</w:t>
            </w:r>
          </w:p>
        </w:tc>
        <w:tc>
          <w:tcPr>
            <w:tcW w:w="892" w:type="dxa"/>
            <w:tcBorders>
              <w:top w:val="nil"/>
              <w:left w:val="nil"/>
              <w:bottom w:val="single" w:sz="4" w:space="0" w:color="auto"/>
              <w:right w:val="single" w:sz="4" w:space="0" w:color="auto"/>
            </w:tcBorders>
            <w:shd w:val="clear" w:color="auto" w:fill="auto"/>
            <w:noWrap/>
            <w:vAlign w:val="center"/>
          </w:tcPr>
          <w:p w:rsidR="002838E4" w:rsidRPr="000873DC" w:rsidRDefault="002838E4" w:rsidP="00427E96">
            <w:pPr>
              <w:jc w:val="right"/>
              <w:rPr>
                <w:rFonts w:ascii="Arial" w:eastAsia="Times New Roman" w:hAnsi="Arial" w:cs="Arial"/>
                <w:color w:val="000000"/>
                <w:lang w:val="id-ID"/>
              </w:rPr>
            </w:pPr>
            <w:r>
              <w:rPr>
                <w:rFonts w:ascii="Arial" w:eastAsia="Times New Roman" w:hAnsi="Arial" w:cs="Arial"/>
                <w:color w:val="000000"/>
              </w:rPr>
              <w:t>0.</w:t>
            </w:r>
            <w:r>
              <w:rPr>
                <w:rFonts w:ascii="Arial" w:eastAsia="Times New Roman" w:hAnsi="Arial" w:cs="Arial"/>
                <w:color w:val="000000"/>
                <w:lang w:val="id-ID"/>
              </w:rPr>
              <w:t>8007</w:t>
            </w:r>
          </w:p>
        </w:tc>
        <w:tc>
          <w:tcPr>
            <w:tcW w:w="1854" w:type="dxa"/>
            <w:tcBorders>
              <w:top w:val="nil"/>
              <w:left w:val="nil"/>
              <w:bottom w:val="single" w:sz="4" w:space="0" w:color="auto"/>
              <w:right w:val="single" w:sz="4" w:space="0" w:color="auto"/>
            </w:tcBorders>
            <w:shd w:val="clear" w:color="auto" w:fill="auto"/>
            <w:noWrap/>
            <w:vAlign w:val="center"/>
          </w:tcPr>
          <w:p w:rsidR="002838E4" w:rsidRPr="00B04551" w:rsidRDefault="002838E4" w:rsidP="00427E96">
            <w:pPr>
              <w:jc w:val="center"/>
              <w:rPr>
                <w:rFonts w:ascii="Arial" w:eastAsia="Times New Roman" w:hAnsi="Arial" w:cs="Arial"/>
                <w:color w:val="000000"/>
              </w:rPr>
            </w:pPr>
            <w:r>
              <w:rPr>
                <w:rFonts w:ascii="Arial" w:eastAsia="Times New Roman" w:hAnsi="Arial" w:cs="Arial"/>
                <w:color w:val="000000"/>
                <w:lang w:val="id-ID"/>
              </w:rPr>
              <w:t xml:space="preserve">Tidak </w:t>
            </w:r>
            <w:r>
              <w:rPr>
                <w:rFonts w:ascii="Arial" w:eastAsia="Times New Roman" w:hAnsi="Arial" w:cs="Arial"/>
                <w:color w:val="000000"/>
              </w:rPr>
              <w:t>Signifikan</w:t>
            </w:r>
          </w:p>
        </w:tc>
      </w:tr>
      <w:tr w:rsidR="002838E4" w:rsidRPr="00D026E8" w:rsidTr="00427E96">
        <w:trPr>
          <w:trHeight w:val="328"/>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2838E4" w:rsidRPr="00B04551" w:rsidRDefault="002838E4" w:rsidP="00427E96">
            <w:pPr>
              <w:jc w:val="center"/>
              <w:rPr>
                <w:rFonts w:ascii="Arial" w:eastAsia="Times New Roman" w:hAnsi="Arial" w:cs="Arial"/>
                <w:color w:val="000000"/>
              </w:rPr>
            </w:pPr>
            <w:r>
              <w:rPr>
                <w:rFonts w:ascii="Arial" w:eastAsia="Times New Roman" w:hAnsi="Arial" w:cs="Arial"/>
                <w:color w:val="000000"/>
                <w:lang w:val="id-ID"/>
              </w:rPr>
              <w:t>BIrate</w:t>
            </w:r>
            <w:r w:rsidRPr="00B04551">
              <w:rPr>
                <w:rFonts w:ascii="Arial" w:eastAsia="Times New Roman" w:hAnsi="Arial" w:cs="Arial"/>
                <w:color w:val="000000"/>
              </w:rPr>
              <w:t>(-1)</w:t>
            </w:r>
          </w:p>
        </w:tc>
        <w:tc>
          <w:tcPr>
            <w:tcW w:w="1403" w:type="dxa"/>
            <w:tcBorders>
              <w:top w:val="nil"/>
              <w:left w:val="nil"/>
              <w:bottom w:val="single" w:sz="4" w:space="0" w:color="auto"/>
              <w:right w:val="single" w:sz="4" w:space="0" w:color="auto"/>
            </w:tcBorders>
            <w:shd w:val="clear" w:color="auto" w:fill="auto"/>
            <w:noWrap/>
            <w:vAlign w:val="center"/>
            <w:hideMark/>
          </w:tcPr>
          <w:p w:rsidR="002838E4" w:rsidRPr="00A2072E" w:rsidRDefault="002838E4" w:rsidP="00427E96">
            <w:pPr>
              <w:jc w:val="right"/>
              <w:rPr>
                <w:rFonts w:ascii="Arial" w:eastAsia="Times New Roman" w:hAnsi="Arial" w:cs="Arial"/>
                <w:color w:val="000000"/>
                <w:lang w:val="id-ID"/>
              </w:rPr>
            </w:pPr>
            <w:r>
              <w:rPr>
                <w:rFonts w:ascii="Arial" w:eastAsia="Times New Roman" w:hAnsi="Arial" w:cs="Arial"/>
                <w:color w:val="000000"/>
                <w:lang w:val="id-ID"/>
              </w:rPr>
              <w:t>7.167584</w:t>
            </w:r>
          </w:p>
        </w:tc>
        <w:tc>
          <w:tcPr>
            <w:tcW w:w="1496" w:type="dxa"/>
            <w:tcBorders>
              <w:top w:val="nil"/>
              <w:left w:val="nil"/>
              <w:bottom w:val="single" w:sz="4" w:space="0" w:color="auto"/>
              <w:right w:val="single" w:sz="4" w:space="0" w:color="auto"/>
            </w:tcBorders>
            <w:shd w:val="clear" w:color="auto" w:fill="auto"/>
            <w:noWrap/>
            <w:vAlign w:val="center"/>
            <w:hideMark/>
          </w:tcPr>
          <w:p w:rsidR="002838E4" w:rsidRPr="000873DC" w:rsidRDefault="002838E4" w:rsidP="00427E96">
            <w:pPr>
              <w:jc w:val="right"/>
              <w:rPr>
                <w:rFonts w:ascii="Arial" w:eastAsia="Times New Roman" w:hAnsi="Arial" w:cs="Arial"/>
                <w:color w:val="000000"/>
                <w:lang w:val="id-ID"/>
              </w:rPr>
            </w:pPr>
            <w:r>
              <w:rPr>
                <w:rFonts w:ascii="Arial" w:eastAsia="Times New Roman" w:hAnsi="Arial" w:cs="Arial"/>
                <w:color w:val="000000"/>
                <w:lang w:val="id-ID"/>
              </w:rPr>
              <w:t>0.579098</w:t>
            </w:r>
          </w:p>
        </w:tc>
        <w:tc>
          <w:tcPr>
            <w:tcW w:w="892" w:type="dxa"/>
            <w:tcBorders>
              <w:top w:val="nil"/>
              <w:left w:val="nil"/>
              <w:bottom w:val="single" w:sz="4" w:space="0" w:color="auto"/>
              <w:right w:val="single" w:sz="4" w:space="0" w:color="auto"/>
            </w:tcBorders>
            <w:shd w:val="clear" w:color="auto" w:fill="auto"/>
            <w:noWrap/>
            <w:vAlign w:val="center"/>
          </w:tcPr>
          <w:p w:rsidR="002838E4" w:rsidRPr="000873DC" w:rsidRDefault="002838E4" w:rsidP="00427E96">
            <w:pPr>
              <w:jc w:val="right"/>
              <w:rPr>
                <w:rFonts w:ascii="Arial" w:eastAsia="Times New Roman" w:hAnsi="Arial" w:cs="Arial"/>
                <w:color w:val="000000"/>
                <w:lang w:val="id-ID"/>
              </w:rPr>
            </w:pPr>
            <w:r>
              <w:rPr>
                <w:rFonts w:ascii="Arial" w:eastAsia="Times New Roman" w:hAnsi="Arial" w:cs="Arial"/>
                <w:color w:val="000000"/>
              </w:rPr>
              <w:t>0.</w:t>
            </w:r>
            <w:r>
              <w:rPr>
                <w:rFonts w:ascii="Arial" w:eastAsia="Times New Roman" w:hAnsi="Arial" w:cs="Arial"/>
                <w:color w:val="000000"/>
                <w:lang w:val="id-ID"/>
              </w:rPr>
              <w:t>5675</w:t>
            </w:r>
          </w:p>
        </w:tc>
        <w:tc>
          <w:tcPr>
            <w:tcW w:w="1854" w:type="dxa"/>
            <w:tcBorders>
              <w:top w:val="nil"/>
              <w:left w:val="nil"/>
              <w:bottom w:val="single" w:sz="4" w:space="0" w:color="auto"/>
              <w:right w:val="single" w:sz="4" w:space="0" w:color="auto"/>
            </w:tcBorders>
            <w:shd w:val="clear" w:color="auto" w:fill="auto"/>
            <w:noWrap/>
            <w:vAlign w:val="center"/>
          </w:tcPr>
          <w:p w:rsidR="002838E4" w:rsidRPr="00B04551" w:rsidRDefault="002838E4" w:rsidP="00427E96">
            <w:pPr>
              <w:jc w:val="center"/>
              <w:rPr>
                <w:rFonts w:ascii="Arial" w:eastAsia="Times New Roman" w:hAnsi="Arial" w:cs="Arial"/>
                <w:color w:val="000000"/>
              </w:rPr>
            </w:pPr>
            <w:r>
              <w:rPr>
                <w:rFonts w:ascii="Arial" w:eastAsia="Times New Roman" w:hAnsi="Arial" w:cs="Arial"/>
                <w:color w:val="000000"/>
              </w:rPr>
              <w:t>Tidak Signifikan</w:t>
            </w:r>
          </w:p>
        </w:tc>
      </w:tr>
      <w:tr w:rsidR="002838E4" w:rsidRPr="00D026E8" w:rsidTr="00427E96">
        <w:trPr>
          <w:trHeight w:val="328"/>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2838E4" w:rsidRPr="00B04551" w:rsidRDefault="002838E4" w:rsidP="00427E96">
            <w:pPr>
              <w:jc w:val="center"/>
              <w:rPr>
                <w:rFonts w:ascii="Arial" w:eastAsia="Times New Roman" w:hAnsi="Arial" w:cs="Arial"/>
                <w:color w:val="000000"/>
              </w:rPr>
            </w:pPr>
            <w:r>
              <w:rPr>
                <w:rFonts w:ascii="Arial" w:eastAsia="Times New Roman" w:hAnsi="Arial" w:cs="Arial"/>
                <w:color w:val="000000"/>
                <w:lang w:val="id-ID"/>
              </w:rPr>
              <w:t>PE</w:t>
            </w:r>
            <w:r w:rsidRPr="00B04551">
              <w:rPr>
                <w:rFonts w:ascii="Arial" w:eastAsia="Times New Roman" w:hAnsi="Arial" w:cs="Arial"/>
                <w:color w:val="000000"/>
              </w:rPr>
              <w:t>(-1)</w:t>
            </w:r>
          </w:p>
        </w:tc>
        <w:tc>
          <w:tcPr>
            <w:tcW w:w="1403" w:type="dxa"/>
            <w:tcBorders>
              <w:top w:val="nil"/>
              <w:left w:val="nil"/>
              <w:bottom w:val="single" w:sz="4" w:space="0" w:color="auto"/>
              <w:right w:val="single" w:sz="4" w:space="0" w:color="auto"/>
            </w:tcBorders>
            <w:shd w:val="clear" w:color="auto" w:fill="auto"/>
            <w:noWrap/>
            <w:vAlign w:val="center"/>
            <w:hideMark/>
          </w:tcPr>
          <w:p w:rsidR="002838E4" w:rsidRPr="00A2072E" w:rsidRDefault="002838E4" w:rsidP="00427E96">
            <w:pPr>
              <w:jc w:val="right"/>
              <w:rPr>
                <w:rFonts w:ascii="Arial" w:eastAsia="Times New Roman" w:hAnsi="Arial" w:cs="Arial"/>
                <w:color w:val="000000"/>
                <w:lang w:val="id-ID"/>
              </w:rPr>
            </w:pPr>
            <w:r>
              <w:rPr>
                <w:rFonts w:ascii="Arial" w:eastAsia="Times New Roman" w:hAnsi="Arial" w:cs="Arial"/>
                <w:color w:val="000000"/>
                <w:lang w:val="id-ID"/>
              </w:rPr>
              <w:t>-0.613364</w:t>
            </w:r>
          </w:p>
        </w:tc>
        <w:tc>
          <w:tcPr>
            <w:tcW w:w="1496" w:type="dxa"/>
            <w:tcBorders>
              <w:top w:val="nil"/>
              <w:left w:val="nil"/>
              <w:bottom w:val="single" w:sz="4" w:space="0" w:color="auto"/>
              <w:right w:val="single" w:sz="4" w:space="0" w:color="auto"/>
            </w:tcBorders>
            <w:shd w:val="clear" w:color="auto" w:fill="auto"/>
            <w:noWrap/>
            <w:vAlign w:val="center"/>
            <w:hideMark/>
          </w:tcPr>
          <w:p w:rsidR="002838E4" w:rsidRPr="00531C01" w:rsidRDefault="002838E4" w:rsidP="00427E96">
            <w:pPr>
              <w:jc w:val="right"/>
              <w:rPr>
                <w:rFonts w:ascii="Arial" w:eastAsia="Times New Roman" w:hAnsi="Arial" w:cs="Arial"/>
                <w:color w:val="000000"/>
                <w:lang w:val="id-ID"/>
              </w:rPr>
            </w:pPr>
            <w:r>
              <w:rPr>
                <w:rFonts w:ascii="Arial" w:eastAsia="Times New Roman" w:hAnsi="Arial" w:cs="Arial"/>
                <w:color w:val="000000"/>
              </w:rPr>
              <w:t>-</w:t>
            </w:r>
            <w:r>
              <w:rPr>
                <w:rFonts w:ascii="Arial" w:eastAsia="Times New Roman" w:hAnsi="Arial" w:cs="Arial"/>
                <w:color w:val="000000"/>
                <w:lang w:val="id-ID"/>
              </w:rPr>
              <w:t>0.383047</w:t>
            </w:r>
          </w:p>
        </w:tc>
        <w:tc>
          <w:tcPr>
            <w:tcW w:w="892" w:type="dxa"/>
            <w:tcBorders>
              <w:top w:val="nil"/>
              <w:left w:val="nil"/>
              <w:bottom w:val="single" w:sz="4" w:space="0" w:color="auto"/>
              <w:right w:val="single" w:sz="4" w:space="0" w:color="auto"/>
            </w:tcBorders>
            <w:shd w:val="clear" w:color="auto" w:fill="auto"/>
            <w:noWrap/>
            <w:vAlign w:val="center"/>
          </w:tcPr>
          <w:p w:rsidR="002838E4" w:rsidRPr="00531C01" w:rsidRDefault="002838E4" w:rsidP="00427E96">
            <w:pPr>
              <w:jc w:val="right"/>
              <w:rPr>
                <w:rFonts w:ascii="Arial" w:eastAsia="Times New Roman" w:hAnsi="Arial" w:cs="Arial"/>
                <w:color w:val="000000"/>
                <w:lang w:val="id-ID"/>
              </w:rPr>
            </w:pPr>
            <w:r>
              <w:rPr>
                <w:rFonts w:ascii="Arial" w:eastAsia="Times New Roman" w:hAnsi="Arial" w:cs="Arial"/>
                <w:color w:val="000000"/>
              </w:rPr>
              <w:t>0.</w:t>
            </w:r>
            <w:r>
              <w:rPr>
                <w:rFonts w:ascii="Arial" w:eastAsia="Times New Roman" w:hAnsi="Arial" w:cs="Arial"/>
                <w:color w:val="000000"/>
                <w:lang w:val="id-ID"/>
              </w:rPr>
              <w:t>7048</w:t>
            </w:r>
          </w:p>
        </w:tc>
        <w:tc>
          <w:tcPr>
            <w:tcW w:w="1854" w:type="dxa"/>
            <w:tcBorders>
              <w:top w:val="nil"/>
              <w:left w:val="nil"/>
              <w:bottom w:val="single" w:sz="4" w:space="0" w:color="auto"/>
              <w:right w:val="single" w:sz="4" w:space="0" w:color="auto"/>
            </w:tcBorders>
            <w:shd w:val="clear" w:color="auto" w:fill="auto"/>
            <w:noWrap/>
            <w:vAlign w:val="center"/>
          </w:tcPr>
          <w:p w:rsidR="002838E4" w:rsidRPr="00B04551" w:rsidRDefault="002838E4" w:rsidP="00427E96">
            <w:pPr>
              <w:jc w:val="center"/>
              <w:rPr>
                <w:rFonts w:ascii="Arial" w:eastAsia="Times New Roman" w:hAnsi="Arial" w:cs="Arial"/>
                <w:color w:val="000000"/>
              </w:rPr>
            </w:pPr>
            <w:r>
              <w:rPr>
                <w:rFonts w:ascii="Arial" w:eastAsia="Times New Roman" w:hAnsi="Arial" w:cs="Arial"/>
                <w:color w:val="000000"/>
                <w:lang w:val="id-ID"/>
              </w:rPr>
              <w:t xml:space="preserve"> Tidak </w:t>
            </w:r>
            <w:r>
              <w:rPr>
                <w:rFonts w:ascii="Arial" w:eastAsia="Times New Roman" w:hAnsi="Arial" w:cs="Arial"/>
                <w:color w:val="000000"/>
              </w:rPr>
              <w:t>Signifikan</w:t>
            </w:r>
          </w:p>
        </w:tc>
      </w:tr>
      <w:tr w:rsidR="002838E4" w:rsidRPr="00D026E8" w:rsidTr="00427E96">
        <w:trPr>
          <w:trHeight w:val="328"/>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2838E4" w:rsidRPr="00B04551" w:rsidRDefault="002838E4" w:rsidP="00427E96">
            <w:pPr>
              <w:jc w:val="center"/>
              <w:rPr>
                <w:rFonts w:ascii="Arial" w:eastAsia="Times New Roman" w:hAnsi="Arial" w:cs="Arial"/>
                <w:color w:val="000000"/>
              </w:rPr>
            </w:pPr>
            <w:r w:rsidRPr="00B04551">
              <w:rPr>
                <w:rFonts w:ascii="Arial" w:eastAsia="Times New Roman" w:hAnsi="Arial" w:cs="Arial"/>
                <w:color w:val="000000"/>
              </w:rPr>
              <w:t>ECT</w:t>
            </w:r>
          </w:p>
        </w:tc>
        <w:tc>
          <w:tcPr>
            <w:tcW w:w="1403" w:type="dxa"/>
            <w:tcBorders>
              <w:top w:val="nil"/>
              <w:left w:val="nil"/>
              <w:bottom w:val="single" w:sz="4" w:space="0" w:color="auto"/>
              <w:right w:val="single" w:sz="4" w:space="0" w:color="auto"/>
            </w:tcBorders>
            <w:shd w:val="clear" w:color="auto" w:fill="auto"/>
            <w:noWrap/>
            <w:vAlign w:val="center"/>
            <w:hideMark/>
          </w:tcPr>
          <w:p w:rsidR="002838E4" w:rsidRPr="00634FF3" w:rsidRDefault="002838E4" w:rsidP="00427E96">
            <w:pPr>
              <w:jc w:val="right"/>
              <w:rPr>
                <w:rFonts w:ascii="Arial" w:eastAsia="Times New Roman" w:hAnsi="Arial" w:cs="Arial"/>
                <w:color w:val="000000"/>
                <w:lang w:val="id-ID"/>
              </w:rPr>
            </w:pPr>
            <w:r>
              <w:rPr>
                <w:rFonts w:ascii="Arial" w:eastAsia="Times New Roman" w:hAnsi="Arial" w:cs="Arial"/>
                <w:color w:val="000000"/>
                <w:lang w:val="id-ID"/>
              </w:rPr>
              <w:t>0.594622</w:t>
            </w:r>
          </w:p>
        </w:tc>
        <w:tc>
          <w:tcPr>
            <w:tcW w:w="1496" w:type="dxa"/>
            <w:tcBorders>
              <w:top w:val="nil"/>
              <w:left w:val="nil"/>
              <w:bottom w:val="single" w:sz="4" w:space="0" w:color="auto"/>
              <w:right w:val="single" w:sz="4" w:space="0" w:color="auto"/>
            </w:tcBorders>
            <w:shd w:val="clear" w:color="auto" w:fill="auto"/>
            <w:noWrap/>
            <w:vAlign w:val="center"/>
            <w:hideMark/>
          </w:tcPr>
          <w:p w:rsidR="002838E4" w:rsidRPr="000873DC" w:rsidRDefault="002838E4" w:rsidP="00427E96">
            <w:pPr>
              <w:jc w:val="right"/>
              <w:rPr>
                <w:rFonts w:ascii="Arial" w:eastAsia="Times New Roman" w:hAnsi="Arial" w:cs="Arial"/>
                <w:color w:val="000000"/>
                <w:lang w:val="id-ID"/>
              </w:rPr>
            </w:pPr>
            <w:r>
              <w:rPr>
                <w:rFonts w:ascii="Arial" w:eastAsia="Times New Roman" w:hAnsi="Arial" w:cs="Arial"/>
                <w:color w:val="000000"/>
                <w:lang w:val="id-ID"/>
              </w:rPr>
              <w:t>4.295417</w:t>
            </w:r>
          </w:p>
        </w:tc>
        <w:tc>
          <w:tcPr>
            <w:tcW w:w="892" w:type="dxa"/>
            <w:tcBorders>
              <w:top w:val="nil"/>
              <w:left w:val="nil"/>
              <w:bottom w:val="single" w:sz="4" w:space="0" w:color="auto"/>
              <w:right w:val="single" w:sz="4" w:space="0" w:color="auto"/>
            </w:tcBorders>
            <w:shd w:val="clear" w:color="auto" w:fill="auto"/>
            <w:noWrap/>
            <w:vAlign w:val="center"/>
          </w:tcPr>
          <w:p w:rsidR="002838E4" w:rsidRPr="00531C01" w:rsidRDefault="002838E4" w:rsidP="00427E96">
            <w:pPr>
              <w:jc w:val="right"/>
              <w:rPr>
                <w:rFonts w:ascii="Arial" w:eastAsia="Times New Roman" w:hAnsi="Arial" w:cs="Arial"/>
                <w:color w:val="000000"/>
                <w:lang w:val="id-ID"/>
              </w:rPr>
            </w:pPr>
            <w:r w:rsidRPr="00B04551">
              <w:rPr>
                <w:rFonts w:ascii="Arial" w:eastAsia="Times New Roman" w:hAnsi="Arial" w:cs="Arial"/>
                <w:color w:val="000000"/>
              </w:rPr>
              <w:t>0</w:t>
            </w:r>
            <w:r w:rsidRPr="00D026E8">
              <w:rPr>
                <w:rFonts w:ascii="Arial" w:eastAsia="Times New Roman" w:hAnsi="Arial" w:cs="Arial"/>
                <w:color w:val="000000"/>
              </w:rPr>
              <w:t>.000</w:t>
            </w:r>
            <w:r>
              <w:rPr>
                <w:rFonts w:ascii="Arial" w:eastAsia="Times New Roman" w:hAnsi="Arial" w:cs="Arial"/>
                <w:color w:val="000000"/>
                <w:lang w:val="id-ID"/>
              </w:rPr>
              <w:t>2</w:t>
            </w:r>
          </w:p>
        </w:tc>
        <w:tc>
          <w:tcPr>
            <w:tcW w:w="1854" w:type="dxa"/>
            <w:tcBorders>
              <w:top w:val="nil"/>
              <w:left w:val="nil"/>
              <w:bottom w:val="single" w:sz="4" w:space="0" w:color="auto"/>
              <w:right w:val="single" w:sz="4" w:space="0" w:color="auto"/>
            </w:tcBorders>
            <w:shd w:val="clear" w:color="auto" w:fill="auto"/>
            <w:noWrap/>
            <w:vAlign w:val="center"/>
          </w:tcPr>
          <w:p w:rsidR="002838E4" w:rsidRPr="00B04551" w:rsidRDefault="002838E4" w:rsidP="00427E96">
            <w:pPr>
              <w:jc w:val="center"/>
              <w:rPr>
                <w:rFonts w:ascii="Arial" w:eastAsia="Times New Roman" w:hAnsi="Arial" w:cs="Arial"/>
                <w:color w:val="000000"/>
              </w:rPr>
            </w:pPr>
            <w:r>
              <w:rPr>
                <w:rFonts w:ascii="Arial" w:eastAsia="Times New Roman" w:hAnsi="Arial" w:cs="Arial"/>
                <w:color w:val="000000"/>
              </w:rPr>
              <w:t>Signifikan</w:t>
            </w:r>
          </w:p>
        </w:tc>
      </w:tr>
      <w:tr w:rsidR="002838E4" w:rsidRPr="00D026E8" w:rsidTr="00427E96">
        <w:trPr>
          <w:trHeight w:val="328"/>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2838E4" w:rsidRPr="00B04551" w:rsidRDefault="002838E4" w:rsidP="00427E96">
            <w:pPr>
              <w:jc w:val="center"/>
              <w:rPr>
                <w:rFonts w:ascii="Arial" w:eastAsia="Times New Roman" w:hAnsi="Arial" w:cs="Arial"/>
                <w:color w:val="000000"/>
              </w:rPr>
            </w:pPr>
            <w:r w:rsidRPr="00B04551">
              <w:rPr>
                <w:rFonts w:ascii="Arial" w:eastAsia="Times New Roman" w:hAnsi="Arial" w:cs="Arial"/>
                <w:color w:val="000000"/>
              </w:rPr>
              <w:t>Konstanta</w:t>
            </w:r>
          </w:p>
        </w:tc>
        <w:tc>
          <w:tcPr>
            <w:tcW w:w="1403" w:type="dxa"/>
            <w:tcBorders>
              <w:top w:val="nil"/>
              <w:left w:val="nil"/>
              <w:bottom w:val="single" w:sz="4" w:space="0" w:color="auto"/>
              <w:right w:val="single" w:sz="4" w:space="0" w:color="auto"/>
            </w:tcBorders>
            <w:shd w:val="clear" w:color="auto" w:fill="auto"/>
            <w:noWrap/>
            <w:vAlign w:val="center"/>
            <w:hideMark/>
          </w:tcPr>
          <w:p w:rsidR="002838E4" w:rsidRPr="00634FF3" w:rsidRDefault="002838E4" w:rsidP="00427E96">
            <w:pPr>
              <w:jc w:val="right"/>
              <w:rPr>
                <w:rFonts w:ascii="Arial" w:eastAsia="Times New Roman" w:hAnsi="Arial" w:cs="Arial"/>
                <w:color w:val="000000"/>
                <w:lang w:val="id-ID"/>
              </w:rPr>
            </w:pPr>
            <w:r>
              <w:rPr>
                <w:rFonts w:ascii="Arial" w:eastAsia="Times New Roman" w:hAnsi="Arial" w:cs="Arial"/>
                <w:color w:val="000000"/>
                <w:lang w:val="id-ID"/>
              </w:rPr>
              <w:t>-0.705176</w:t>
            </w:r>
          </w:p>
        </w:tc>
        <w:tc>
          <w:tcPr>
            <w:tcW w:w="1496" w:type="dxa"/>
            <w:tcBorders>
              <w:top w:val="nil"/>
              <w:left w:val="nil"/>
              <w:bottom w:val="single" w:sz="4" w:space="0" w:color="auto"/>
              <w:right w:val="single" w:sz="4" w:space="0" w:color="auto"/>
            </w:tcBorders>
            <w:shd w:val="clear" w:color="auto" w:fill="auto"/>
            <w:noWrap/>
            <w:vAlign w:val="center"/>
            <w:hideMark/>
          </w:tcPr>
          <w:p w:rsidR="002838E4" w:rsidRPr="00531C01" w:rsidRDefault="002838E4" w:rsidP="00427E96">
            <w:pPr>
              <w:jc w:val="right"/>
              <w:rPr>
                <w:rFonts w:ascii="Arial" w:eastAsia="Times New Roman" w:hAnsi="Arial" w:cs="Arial"/>
                <w:color w:val="000000"/>
                <w:lang w:val="id-ID"/>
              </w:rPr>
            </w:pPr>
            <w:r>
              <w:rPr>
                <w:rFonts w:ascii="Arial" w:eastAsia="Times New Roman" w:hAnsi="Arial" w:cs="Arial"/>
                <w:color w:val="000000"/>
                <w:lang w:val="id-ID"/>
              </w:rPr>
              <w:t>-0.107667</w:t>
            </w:r>
          </w:p>
        </w:tc>
        <w:tc>
          <w:tcPr>
            <w:tcW w:w="892" w:type="dxa"/>
            <w:tcBorders>
              <w:top w:val="nil"/>
              <w:left w:val="nil"/>
              <w:bottom w:val="single" w:sz="4" w:space="0" w:color="auto"/>
              <w:right w:val="single" w:sz="4" w:space="0" w:color="auto"/>
            </w:tcBorders>
            <w:shd w:val="clear" w:color="auto" w:fill="auto"/>
            <w:noWrap/>
            <w:vAlign w:val="center"/>
          </w:tcPr>
          <w:p w:rsidR="002838E4" w:rsidRPr="000873DC" w:rsidRDefault="002838E4" w:rsidP="00427E96">
            <w:pPr>
              <w:jc w:val="right"/>
              <w:rPr>
                <w:rFonts w:ascii="Arial" w:eastAsia="Times New Roman" w:hAnsi="Arial" w:cs="Arial"/>
                <w:color w:val="000000"/>
                <w:lang w:val="id-ID"/>
              </w:rPr>
            </w:pPr>
            <w:r>
              <w:rPr>
                <w:rFonts w:ascii="Arial" w:eastAsia="Times New Roman" w:hAnsi="Arial" w:cs="Arial"/>
                <w:color w:val="000000"/>
              </w:rPr>
              <w:t>0.</w:t>
            </w:r>
            <w:r>
              <w:rPr>
                <w:rFonts w:ascii="Arial" w:eastAsia="Times New Roman" w:hAnsi="Arial" w:cs="Arial"/>
                <w:color w:val="000000"/>
                <w:lang w:val="id-ID"/>
              </w:rPr>
              <w:t>9151</w:t>
            </w:r>
          </w:p>
        </w:tc>
        <w:tc>
          <w:tcPr>
            <w:tcW w:w="1854" w:type="dxa"/>
            <w:tcBorders>
              <w:top w:val="nil"/>
              <w:left w:val="nil"/>
              <w:bottom w:val="single" w:sz="4" w:space="0" w:color="auto"/>
              <w:right w:val="single" w:sz="4" w:space="0" w:color="auto"/>
            </w:tcBorders>
            <w:shd w:val="clear" w:color="auto" w:fill="auto"/>
            <w:noWrap/>
            <w:vAlign w:val="center"/>
          </w:tcPr>
          <w:p w:rsidR="002838E4" w:rsidRPr="00B04551" w:rsidRDefault="002838E4" w:rsidP="00427E96">
            <w:pPr>
              <w:jc w:val="right"/>
              <w:rPr>
                <w:rFonts w:ascii="Arial" w:eastAsia="Times New Roman" w:hAnsi="Arial" w:cs="Arial"/>
                <w:color w:val="000000"/>
              </w:rPr>
            </w:pPr>
          </w:p>
        </w:tc>
      </w:tr>
    </w:tbl>
    <w:p w:rsidR="002838E4" w:rsidRPr="002838E4" w:rsidRDefault="002838E4" w:rsidP="002838E4">
      <w:pPr>
        <w:contextualSpacing/>
        <w:rPr>
          <w:rFonts w:asciiTheme="majorBidi" w:hAnsiTheme="majorBidi" w:cstheme="majorBidi"/>
          <w:sz w:val="20"/>
          <w:szCs w:val="20"/>
        </w:rPr>
      </w:pPr>
      <w:r w:rsidRPr="002838E4">
        <w:rPr>
          <w:rFonts w:asciiTheme="majorBidi" w:hAnsiTheme="majorBidi" w:cstheme="majorBidi"/>
          <w:sz w:val="20"/>
          <w:szCs w:val="20"/>
        </w:rPr>
        <w:t>Sumber: Data diolah (2015)</w:t>
      </w:r>
    </w:p>
    <w:p w:rsidR="002838E4" w:rsidRPr="00AA099D" w:rsidRDefault="002838E4" w:rsidP="002838E4">
      <w:pPr>
        <w:spacing w:line="480" w:lineRule="auto"/>
        <w:ind w:firstLine="720"/>
        <w:contextualSpacing/>
        <w:rPr>
          <w:rFonts w:ascii="Arial" w:hAnsi="Arial" w:cs="Arial"/>
        </w:rPr>
      </w:pPr>
    </w:p>
    <w:p w:rsidR="002838E4" w:rsidRDefault="002838E4" w:rsidP="002838E4">
      <w:pPr>
        <w:spacing w:line="480" w:lineRule="auto"/>
        <w:ind w:firstLine="720"/>
        <w:contextualSpacing/>
        <w:rPr>
          <w:rFonts w:ascii="Arial" w:hAnsi="Arial" w:cs="Arial"/>
          <w:lang w:val="id-ID"/>
        </w:rPr>
      </w:pPr>
    </w:p>
    <w:p w:rsidR="002838E4" w:rsidRDefault="002838E4" w:rsidP="002838E4">
      <w:pPr>
        <w:spacing w:line="480" w:lineRule="auto"/>
        <w:ind w:firstLine="720"/>
        <w:contextualSpacing/>
        <w:rPr>
          <w:rFonts w:ascii="Arial" w:hAnsi="Arial" w:cs="Arial"/>
          <w:lang w:val="id-ID"/>
        </w:rPr>
      </w:pPr>
    </w:p>
    <w:p w:rsidR="002838E4" w:rsidRDefault="002838E4" w:rsidP="002838E4">
      <w:pPr>
        <w:spacing w:line="480" w:lineRule="auto"/>
        <w:rPr>
          <w:rFonts w:ascii="Arial" w:hAnsi="Arial" w:cs="Arial"/>
          <w:lang w:val="id-ID"/>
        </w:rPr>
      </w:pPr>
    </w:p>
    <w:p w:rsidR="002838E4" w:rsidRDefault="002838E4" w:rsidP="002838E4">
      <w:pPr>
        <w:spacing w:line="480" w:lineRule="auto"/>
        <w:rPr>
          <w:rFonts w:ascii="Arial" w:hAnsi="Arial" w:cs="Arial"/>
        </w:rPr>
      </w:pPr>
    </w:p>
    <w:p w:rsidR="00D10450" w:rsidRDefault="00D10450" w:rsidP="002838E4">
      <w:pPr>
        <w:spacing w:line="480" w:lineRule="auto"/>
        <w:rPr>
          <w:rFonts w:asciiTheme="majorBidi" w:hAnsiTheme="majorBidi" w:cstheme="majorBidi"/>
          <w:sz w:val="20"/>
          <w:szCs w:val="20"/>
        </w:rPr>
      </w:pPr>
    </w:p>
    <w:p w:rsidR="00D10450" w:rsidRDefault="00D10450" w:rsidP="002838E4">
      <w:pPr>
        <w:spacing w:line="480" w:lineRule="auto"/>
        <w:rPr>
          <w:rFonts w:asciiTheme="majorBidi" w:hAnsiTheme="majorBidi" w:cstheme="majorBidi"/>
          <w:sz w:val="20"/>
          <w:szCs w:val="20"/>
        </w:rPr>
      </w:pPr>
    </w:p>
    <w:p w:rsidR="00D10450" w:rsidRDefault="00D10450" w:rsidP="002838E4">
      <w:pPr>
        <w:spacing w:line="480" w:lineRule="auto"/>
        <w:rPr>
          <w:rFonts w:asciiTheme="majorBidi" w:hAnsiTheme="majorBidi" w:cstheme="majorBidi"/>
          <w:sz w:val="20"/>
          <w:szCs w:val="20"/>
        </w:rPr>
      </w:pPr>
    </w:p>
    <w:p w:rsidR="002838E4" w:rsidRPr="002838E4" w:rsidRDefault="002838E4" w:rsidP="002838E4">
      <w:pPr>
        <w:spacing w:line="480" w:lineRule="auto"/>
        <w:rPr>
          <w:rFonts w:asciiTheme="majorBidi" w:hAnsiTheme="majorBidi" w:cstheme="majorBidi"/>
          <w:sz w:val="20"/>
          <w:szCs w:val="20"/>
        </w:rPr>
      </w:pPr>
      <w:r w:rsidRPr="002838E4">
        <w:rPr>
          <w:rFonts w:asciiTheme="majorBidi" w:hAnsiTheme="majorBidi" w:cstheme="majorBidi"/>
          <w:sz w:val="20"/>
          <w:szCs w:val="20"/>
        </w:rPr>
        <w:lastRenderedPageBreak/>
        <w:t>Dari hasil estimasi regresi di atas, nilai koefisien jangka panjang dihitung dengan menggunakan rumus sebagai berikut:</w:t>
      </w:r>
    </w:p>
    <w:p w:rsidR="002838E4" w:rsidRPr="002838E4" w:rsidRDefault="002838E4" w:rsidP="002838E4">
      <w:pPr>
        <w:pStyle w:val="Caption"/>
        <w:spacing w:after="0"/>
        <w:ind w:firstLine="720"/>
        <w:rPr>
          <w:rFonts w:asciiTheme="majorBidi" w:hAnsiTheme="majorBidi" w:cstheme="majorBidi"/>
          <w:color w:val="auto"/>
          <w:sz w:val="20"/>
          <w:szCs w:val="20"/>
          <w:lang w:val="id-ID"/>
        </w:rPr>
      </w:pPr>
      <w:r>
        <w:rPr>
          <w:rFonts w:asciiTheme="majorBidi" w:hAnsiTheme="majorBidi" w:cstheme="majorBidi"/>
          <w:b w:val="0"/>
          <w:color w:val="auto"/>
          <w:sz w:val="20"/>
          <w:szCs w:val="20"/>
        </w:rPr>
        <w:t>Tabel 4</w:t>
      </w:r>
      <w:r w:rsidRPr="002838E4">
        <w:rPr>
          <w:rFonts w:asciiTheme="majorBidi" w:hAnsiTheme="majorBidi" w:cstheme="majorBidi"/>
          <w:b w:val="0"/>
          <w:color w:val="auto"/>
          <w:sz w:val="20"/>
          <w:szCs w:val="20"/>
        </w:rPr>
        <w:t>:</w:t>
      </w:r>
      <w:r w:rsidRPr="002838E4">
        <w:rPr>
          <w:rFonts w:asciiTheme="majorBidi" w:hAnsiTheme="majorBidi" w:cstheme="majorBidi"/>
          <w:color w:val="auto"/>
          <w:sz w:val="20"/>
          <w:szCs w:val="20"/>
        </w:rPr>
        <w:t xml:space="preserve"> Hasil Penghitungan Koefisien Jangka Panjang</w:t>
      </w:r>
    </w:p>
    <w:tbl>
      <w:tblPr>
        <w:tblW w:w="8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276"/>
        <w:gridCol w:w="2977"/>
        <w:gridCol w:w="1818"/>
      </w:tblGrid>
      <w:tr w:rsidR="002838E4" w:rsidRPr="00314E64" w:rsidTr="00427E96">
        <w:trPr>
          <w:trHeight w:val="345"/>
          <w:jc w:val="center"/>
        </w:trPr>
        <w:tc>
          <w:tcPr>
            <w:tcW w:w="2268" w:type="dxa"/>
            <w:shd w:val="clear" w:color="auto" w:fill="FFFF00"/>
          </w:tcPr>
          <w:p w:rsidR="002838E4" w:rsidRPr="00924C55" w:rsidRDefault="002838E4" w:rsidP="00427E96">
            <w:pPr>
              <w:jc w:val="center"/>
              <w:rPr>
                <w:rFonts w:ascii="Arial" w:hAnsi="Arial" w:cs="Arial"/>
                <w:b/>
              </w:rPr>
            </w:pPr>
            <w:r w:rsidRPr="00924C55">
              <w:rPr>
                <w:rFonts w:ascii="Arial" w:hAnsi="Arial" w:cs="Arial"/>
                <w:b/>
              </w:rPr>
              <w:t>Variabel</w:t>
            </w:r>
          </w:p>
        </w:tc>
        <w:tc>
          <w:tcPr>
            <w:tcW w:w="1276" w:type="dxa"/>
            <w:shd w:val="clear" w:color="auto" w:fill="FFFF00"/>
          </w:tcPr>
          <w:p w:rsidR="002838E4" w:rsidRPr="00924C55" w:rsidRDefault="002838E4" w:rsidP="00427E96">
            <w:pPr>
              <w:jc w:val="center"/>
              <w:rPr>
                <w:rFonts w:ascii="Arial" w:hAnsi="Arial" w:cs="Arial"/>
                <w:b/>
              </w:rPr>
            </w:pPr>
            <w:r w:rsidRPr="00924C55">
              <w:rPr>
                <w:rFonts w:ascii="Arial" w:hAnsi="Arial" w:cs="Arial"/>
                <w:b/>
              </w:rPr>
              <w:t>Rumus</w:t>
            </w:r>
          </w:p>
        </w:tc>
        <w:tc>
          <w:tcPr>
            <w:tcW w:w="2977" w:type="dxa"/>
            <w:shd w:val="clear" w:color="auto" w:fill="FFFF00"/>
          </w:tcPr>
          <w:p w:rsidR="002838E4" w:rsidRPr="00924C55" w:rsidRDefault="002838E4" w:rsidP="00427E96">
            <w:pPr>
              <w:jc w:val="center"/>
              <w:rPr>
                <w:rFonts w:ascii="Arial" w:hAnsi="Arial" w:cs="Arial"/>
                <w:b/>
              </w:rPr>
            </w:pPr>
            <w:r w:rsidRPr="00924C55">
              <w:rPr>
                <w:rFonts w:ascii="Arial" w:hAnsi="Arial" w:cs="Arial"/>
                <w:b/>
              </w:rPr>
              <w:t>Penghitungan</w:t>
            </w:r>
          </w:p>
        </w:tc>
        <w:tc>
          <w:tcPr>
            <w:tcW w:w="1818" w:type="dxa"/>
            <w:shd w:val="clear" w:color="auto" w:fill="FFFF00"/>
          </w:tcPr>
          <w:p w:rsidR="002838E4" w:rsidRPr="00924C55" w:rsidRDefault="002838E4" w:rsidP="00427E96">
            <w:pPr>
              <w:jc w:val="center"/>
              <w:rPr>
                <w:rFonts w:ascii="Arial" w:hAnsi="Arial" w:cs="Arial"/>
                <w:b/>
              </w:rPr>
            </w:pPr>
            <w:r w:rsidRPr="00924C55">
              <w:rPr>
                <w:rFonts w:ascii="Arial" w:hAnsi="Arial" w:cs="Arial"/>
                <w:b/>
              </w:rPr>
              <w:t>Hasil</w:t>
            </w:r>
          </w:p>
        </w:tc>
      </w:tr>
      <w:tr w:rsidR="002838E4" w:rsidRPr="00314E64" w:rsidTr="00427E96">
        <w:trPr>
          <w:trHeight w:val="707"/>
          <w:jc w:val="center"/>
        </w:trPr>
        <w:tc>
          <w:tcPr>
            <w:tcW w:w="2268" w:type="dxa"/>
            <w:shd w:val="clear" w:color="auto" w:fill="auto"/>
          </w:tcPr>
          <w:p w:rsidR="002838E4" w:rsidRPr="00BE4C7C" w:rsidRDefault="002838E4" w:rsidP="00427E96">
            <w:pPr>
              <w:jc w:val="center"/>
              <w:rPr>
                <w:rFonts w:ascii="Arial" w:hAnsi="Arial" w:cs="Arial"/>
                <w:lang w:val="id-ID"/>
              </w:rPr>
            </w:pPr>
            <w:r>
              <w:rPr>
                <w:rFonts w:ascii="Arial" w:hAnsi="Arial" w:cs="Arial"/>
                <w:lang w:val="id-ID"/>
              </w:rPr>
              <w:t>Inflasi</w:t>
            </w:r>
          </w:p>
        </w:tc>
        <w:tc>
          <w:tcPr>
            <w:tcW w:w="1276" w:type="dxa"/>
            <w:shd w:val="clear" w:color="auto" w:fill="auto"/>
          </w:tcPr>
          <w:p w:rsidR="002838E4" w:rsidRPr="00924C55" w:rsidRDefault="000478DB" w:rsidP="00427E96">
            <w:pPr>
              <w:jc w:val="center"/>
              <w:rPr>
                <w:rFonts w:ascii="Arial" w:hAnsi="Arial" w:cs="Arial"/>
              </w:rPr>
            </w:pPr>
            <m:oMathPara>
              <m:oMath>
                <m:f>
                  <m:fPr>
                    <m:ctrlPr>
                      <w:rPr>
                        <w:rFonts w:ascii="Cambria Math" w:hAnsi="Cambria Math" w:cs="Arial"/>
                        <w:b/>
                        <w:i/>
                        <w:lang w:val="id-ID"/>
                      </w:rPr>
                    </m:ctrlPr>
                  </m:fPr>
                  <m:num>
                    <m:r>
                      <m:rPr>
                        <m:sty m:val="p"/>
                      </m:rPr>
                      <w:rPr>
                        <w:rFonts w:ascii="Cambria Math" w:hAnsi="Cambria Math" w:cs="Arial"/>
                        <w:lang w:val="id-ID"/>
                      </w:rPr>
                      <m:t>(β5 + β9)</m:t>
                    </m:r>
                  </m:num>
                  <m:den>
                    <m:r>
                      <m:rPr>
                        <m:sty m:val="p"/>
                      </m:rPr>
                      <w:rPr>
                        <w:rFonts w:ascii="Cambria Math" w:hAnsi="Cambria Math" w:cs="Arial"/>
                        <w:lang w:val="id-ID"/>
                      </w:rPr>
                      <m:t>β9</m:t>
                    </m:r>
                  </m:den>
                </m:f>
              </m:oMath>
            </m:oMathPara>
          </w:p>
        </w:tc>
        <w:tc>
          <w:tcPr>
            <w:tcW w:w="2977" w:type="dxa"/>
            <w:shd w:val="clear" w:color="auto" w:fill="auto"/>
          </w:tcPr>
          <w:p w:rsidR="002838E4" w:rsidRPr="00924C55" w:rsidRDefault="000478DB" w:rsidP="00427E96">
            <w:pPr>
              <w:jc w:val="right"/>
              <w:rPr>
                <w:rFonts w:ascii="Arial" w:hAnsi="Arial" w:cs="Arial"/>
              </w:rPr>
            </w:pPr>
            <m:oMathPara>
              <m:oMath>
                <m:f>
                  <m:fPr>
                    <m:ctrlPr>
                      <w:rPr>
                        <w:rFonts w:ascii="Cambria Math" w:hAnsi="Cambria Math" w:cs="Arial"/>
                        <w:i/>
                        <w:lang w:val="id-ID"/>
                      </w:rPr>
                    </m:ctrlPr>
                  </m:fPr>
                  <m:num>
                    <m:r>
                      <m:rPr>
                        <m:sty m:val="p"/>
                      </m:rPr>
                      <w:rPr>
                        <w:rFonts w:ascii="Cambria Math" w:hAnsi="Cambria Math" w:cs="Arial"/>
                        <w:lang w:val="id-ID"/>
                      </w:rPr>
                      <m:t>(-2.013002 +0.594622 )</m:t>
                    </m:r>
                  </m:num>
                  <m:den>
                    <m:r>
                      <m:rPr>
                        <m:sty m:val="p"/>
                      </m:rPr>
                      <w:rPr>
                        <w:rFonts w:ascii="Cambria Math" w:hAnsi="Cambria Math" w:cs="Arial"/>
                        <w:lang w:val="id-ID"/>
                      </w:rPr>
                      <m:t>0.594622</m:t>
                    </m:r>
                  </m:den>
                </m:f>
              </m:oMath>
            </m:oMathPara>
          </w:p>
        </w:tc>
        <w:tc>
          <w:tcPr>
            <w:tcW w:w="1818" w:type="dxa"/>
            <w:shd w:val="clear" w:color="auto" w:fill="auto"/>
          </w:tcPr>
          <w:p w:rsidR="002838E4" w:rsidRPr="0078742F" w:rsidRDefault="002838E4" w:rsidP="00427E96">
            <w:pPr>
              <w:jc w:val="right"/>
              <w:rPr>
                <w:rFonts w:ascii="Arial" w:hAnsi="Arial" w:cs="Arial"/>
                <w:lang w:val="id-ID"/>
              </w:rPr>
            </w:pPr>
            <w:r>
              <w:rPr>
                <w:rFonts w:ascii="Arial" w:hAnsi="Arial" w:cs="Arial"/>
              </w:rPr>
              <w:t>-</w:t>
            </w:r>
            <w:r>
              <w:rPr>
                <w:rFonts w:ascii="Arial" w:hAnsi="Arial" w:cs="Arial"/>
                <w:lang w:val="id-ID"/>
              </w:rPr>
              <w:t>1.013002</w:t>
            </w:r>
          </w:p>
        </w:tc>
      </w:tr>
      <w:tr w:rsidR="002838E4" w:rsidRPr="00314E64" w:rsidTr="00427E96">
        <w:trPr>
          <w:trHeight w:val="729"/>
          <w:jc w:val="center"/>
        </w:trPr>
        <w:tc>
          <w:tcPr>
            <w:tcW w:w="2268" w:type="dxa"/>
            <w:shd w:val="clear" w:color="auto" w:fill="auto"/>
          </w:tcPr>
          <w:p w:rsidR="002838E4" w:rsidRPr="00BE4C7C" w:rsidRDefault="002838E4" w:rsidP="00427E96">
            <w:pPr>
              <w:rPr>
                <w:rFonts w:ascii="Arial" w:hAnsi="Arial" w:cs="Arial"/>
                <w:lang w:val="id-ID"/>
              </w:rPr>
            </w:pPr>
            <w:r>
              <w:rPr>
                <w:rFonts w:ascii="Arial" w:hAnsi="Arial" w:cs="Arial"/>
                <w:lang w:val="id-ID"/>
              </w:rPr>
              <w:t xml:space="preserve">      Nilai Tukar</w:t>
            </w:r>
          </w:p>
        </w:tc>
        <w:tc>
          <w:tcPr>
            <w:tcW w:w="1276" w:type="dxa"/>
            <w:shd w:val="clear" w:color="auto" w:fill="auto"/>
          </w:tcPr>
          <w:p w:rsidR="002838E4" w:rsidRPr="00924C55" w:rsidRDefault="000478DB" w:rsidP="00427E96">
            <w:pPr>
              <w:jc w:val="center"/>
              <w:rPr>
                <w:rFonts w:ascii="Arial" w:hAnsi="Arial" w:cs="Arial"/>
              </w:rPr>
            </w:pPr>
            <m:oMathPara>
              <m:oMath>
                <m:f>
                  <m:fPr>
                    <m:ctrlPr>
                      <w:rPr>
                        <w:rFonts w:ascii="Cambria Math" w:hAnsi="Cambria Math" w:cs="Arial"/>
                        <w:b/>
                        <w:i/>
                        <w:lang w:val="id-ID"/>
                      </w:rPr>
                    </m:ctrlPr>
                  </m:fPr>
                  <m:num>
                    <m:r>
                      <m:rPr>
                        <m:sty m:val="p"/>
                      </m:rPr>
                      <w:rPr>
                        <w:rFonts w:ascii="Cambria Math" w:hAnsi="Cambria Math" w:cs="Arial"/>
                        <w:lang w:val="id-ID"/>
                      </w:rPr>
                      <m:t>(β6 + β9)</m:t>
                    </m:r>
                  </m:num>
                  <m:den>
                    <m:r>
                      <m:rPr>
                        <m:sty m:val="p"/>
                      </m:rPr>
                      <w:rPr>
                        <w:rFonts w:ascii="Cambria Math" w:hAnsi="Cambria Math" w:cs="Arial"/>
                        <w:lang w:val="id-ID"/>
                      </w:rPr>
                      <m:t>β9</m:t>
                    </m:r>
                  </m:den>
                </m:f>
              </m:oMath>
            </m:oMathPara>
          </w:p>
        </w:tc>
        <w:tc>
          <w:tcPr>
            <w:tcW w:w="2977" w:type="dxa"/>
            <w:shd w:val="clear" w:color="auto" w:fill="auto"/>
          </w:tcPr>
          <w:p w:rsidR="002838E4" w:rsidRPr="00924C55" w:rsidRDefault="000478DB" w:rsidP="00427E96">
            <w:pPr>
              <w:jc w:val="right"/>
              <w:rPr>
                <w:rFonts w:ascii="Arial" w:hAnsi="Arial" w:cs="Arial"/>
              </w:rPr>
            </w:pPr>
            <m:oMathPara>
              <m:oMath>
                <m:f>
                  <m:fPr>
                    <m:ctrlPr>
                      <w:rPr>
                        <w:rFonts w:ascii="Cambria Math" w:hAnsi="Cambria Math" w:cs="Arial"/>
                        <w:i/>
                        <w:lang w:val="id-ID"/>
                      </w:rPr>
                    </m:ctrlPr>
                  </m:fPr>
                  <m:num>
                    <m:r>
                      <m:rPr>
                        <m:sty m:val="p"/>
                      </m:rPr>
                      <w:rPr>
                        <w:rFonts w:ascii="Cambria Math" w:hAnsi="Cambria Math" w:cs="Arial"/>
                        <w:lang w:val="id-ID"/>
                      </w:rPr>
                      <m:t xml:space="preserve"> (62.41186+0.594622 )</m:t>
                    </m:r>
                  </m:num>
                  <m:den>
                    <m:r>
                      <m:rPr>
                        <m:sty m:val="p"/>
                      </m:rPr>
                      <w:rPr>
                        <w:rFonts w:ascii="Cambria Math" w:hAnsi="Cambria Math" w:cs="Arial"/>
                        <w:lang w:val="id-ID"/>
                      </w:rPr>
                      <m:t>0.594622</m:t>
                    </m:r>
                  </m:den>
                </m:f>
              </m:oMath>
            </m:oMathPara>
          </w:p>
        </w:tc>
        <w:tc>
          <w:tcPr>
            <w:tcW w:w="1818" w:type="dxa"/>
            <w:shd w:val="clear" w:color="auto" w:fill="auto"/>
          </w:tcPr>
          <w:p w:rsidR="002838E4" w:rsidRPr="0078742F" w:rsidRDefault="002838E4" w:rsidP="00427E96">
            <w:pPr>
              <w:jc w:val="right"/>
              <w:rPr>
                <w:rFonts w:ascii="Arial" w:hAnsi="Arial" w:cs="Arial"/>
                <w:lang w:val="id-ID"/>
              </w:rPr>
            </w:pPr>
            <w:r>
              <w:rPr>
                <w:rFonts w:ascii="Arial" w:hAnsi="Arial" w:cs="Arial"/>
                <w:lang w:val="id-ID"/>
              </w:rPr>
              <w:t>63.41186</w:t>
            </w:r>
          </w:p>
        </w:tc>
      </w:tr>
      <w:tr w:rsidR="002838E4" w:rsidRPr="00314E64" w:rsidTr="00427E96">
        <w:trPr>
          <w:trHeight w:val="729"/>
          <w:jc w:val="center"/>
        </w:trPr>
        <w:tc>
          <w:tcPr>
            <w:tcW w:w="2268" w:type="dxa"/>
            <w:shd w:val="clear" w:color="auto" w:fill="auto"/>
          </w:tcPr>
          <w:p w:rsidR="002838E4" w:rsidRPr="00BE4C7C" w:rsidRDefault="002838E4" w:rsidP="00427E96">
            <w:pPr>
              <w:jc w:val="center"/>
              <w:rPr>
                <w:rFonts w:ascii="Arial" w:hAnsi="Arial" w:cs="Arial"/>
                <w:i/>
                <w:lang w:val="id-ID"/>
              </w:rPr>
            </w:pPr>
            <w:r w:rsidRPr="00BE4C7C">
              <w:rPr>
                <w:rFonts w:ascii="Arial" w:hAnsi="Arial" w:cs="Arial"/>
                <w:lang w:val="id-ID"/>
              </w:rPr>
              <w:t>BI</w:t>
            </w:r>
            <w:r>
              <w:rPr>
                <w:rFonts w:ascii="Arial" w:hAnsi="Arial" w:cs="Arial"/>
                <w:i/>
                <w:lang w:val="id-ID"/>
              </w:rPr>
              <w:t xml:space="preserve"> rate</w:t>
            </w:r>
          </w:p>
        </w:tc>
        <w:tc>
          <w:tcPr>
            <w:tcW w:w="1276" w:type="dxa"/>
            <w:shd w:val="clear" w:color="auto" w:fill="auto"/>
          </w:tcPr>
          <w:p w:rsidR="002838E4" w:rsidRPr="00924C55" w:rsidRDefault="000478DB" w:rsidP="00427E96">
            <w:pPr>
              <w:jc w:val="center"/>
              <w:rPr>
                <w:rFonts w:ascii="Arial" w:hAnsi="Arial" w:cs="Arial"/>
              </w:rPr>
            </w:pPr>
            <m:oMathPara>
              <m:oMath>
                <m:f>
                  <m:fPr>
                    <m:ctrlPr>
                      <w:rPr>
                        <w:rFonts w:ascii="Cambria Math" w:hAnsi="Cambria Math" w:cs="Arial"/>
                        <w:b/>
                        <w:i/>
                        <w:lang w:val="id-ID"/>
                      </w:rPr>
                    </m:ctrlPr>
                  </m:fPr>
                  <m:num>
                    <m:r>
                      <m:rPr>
                        <m:sty m:val="p"/>
                      </m:rPr>
                      <w:rPr>
                        <w:rFonts w:ascii="Cambria Math" w:hAnsi="Cambria Math" w:cs="Arial"/>
                        <w:lang w:val="id-ID"/>
                      </w:rPr>
                      <m:t>(β7 + β9)</m:t>
                    </m:r>
                  </m:num>
                  <m:den>
                    <m:r>
                      <m:rPr>
                        <m:sty m:val="p"/>
                      </m:rPr>
                      <w:rPr>
                        <w:rFonts w:ascii="Cambria Math" w:hAnsi="Cambria Math" w:cs="Arial"/>
                        <w:lang w:val="id-ID"/>
                      </w:rPr>
                      <m:t>β9</m:t>
                    </m:r>
                  </m:den>
                </m:f>
              </m:oMath>
            </m:oMathPara>
          </w:p>
        </w:tc>
        <w:tc>
          <w:tcPr>
            <w:tcW w:w="2977" w:type="dxa"/>
            <w:shd w:val="clear" w:color="auto" w:fill="auto"/>
          </w:tcPr>
          <w:p w:rsidR="002838E4" w:rsidRPr="00924C55" w:rsidRDefault="000478DB" w:rsidP="00427E96">
            <w:pPr>
              <w:jc w:val="right"/>
              <w:rPr>
                <w:rFonts w:ascii="Arial" w:hAnsi="Arial" w:cs="Arial"/>
              </w:rPr>
            </w:pPr>
            <m:oMathPara>
              <m:oMath>
                <m:f>
                  <m:fPr>
                    <m:ctrlPr>
                      <w:rPr>
                        <w:rFonts w:ascii="Cambria Math" w:hAnsi="Cambria Math" w:cs="Arial"/>
                        <w:i/>
                        <w:lang w:val="id-ID"/>
                      </w:rPr>
                    </m:ctrlPr>
                  </m:fPr>
                  <m:num>
                    <m:r>
                      <m:rPr>
                        <m:sty m:val="p"/>
                      </m:rPr>
                      <w:rPr>
                        <w:rFonts w:ascii="Cambria Math" w:hAnsi="Cambria Math" w:cs="Arial"/>
                        <w:lang w:val="id-ID"/>
                      </w:rPr>
                      <m:t xml:space="preserve"> (7.167584+0.594622  )</m:t>
                    </m:r>
                  </m:num>
                  <m:den>
                    <m:r>
                      <m:rPr>
                        <m:sty m:val="p"/>
                      </m:rPr>
                      <w:rPr>
                        <w:rFonts w:ascii="Cambria Math" w:hAnsi="Cambria Math" w:cs="Arial"/>
                        <w:lang w:val="id-ID"/>
                      </w:rPr>
                      <m:t xml:space="preserve">0.594622 </m:t>
                    </m:r>
                  </m:den>
                </m:f>
              </m:oMath>
            </m:oMathPara>
          </w:p>
        </w:tc>
        <w:tc>
          <w:tcPr>
            <w:tcW w:w="1818" w:type="dxa"/>
            <w:shd w:val="clear" w:color="auto" w:fill="auto"/>
          </w:tcPr>
          <w:p w:rsidR="002838E4" w:rsidRPr="003A109F" w:rsidRDefault="002838E4" w:rsidP="00427E96">
            <w:pPr>
              <w:jc w:val="right"/>
              <w:rPr>
                <w:rFonts w:ascii="Arial" w:hAnsi="Arial" w:cs="Arial"/>
                <w:lang w:val="id-ID"/>
              </w:rPr>
            </w:pPr>
            <w:r>
              <w:rPr>
                <w:rFonts w:ascii="Arial" w:hAnsi="Arial" w:cs="Arial"/>
                <w:lang w:val="id-ID"/>
              </w:rPr>
              <w:t>8.167584</w:t>
            </w:r>
          </w:p>
        </w:tc>
      </w:tr>
      <w:tr w:rsidR="002838E4" w:rsidRPr="00314E64" w:rsidTr="00427E96">
        <w:trPr>
          <w:trHeight w:val="729"/>
          <w:jc w:val="center"/>
        </w:trPr>
        <w:tc>
          <w:tcPr>
            <w:tcW w:w="2268" w:type="dxa"/>
            <w:shd w:val="clear" w:color="auto" w:fill="auto"/>
          </w:tcPr>
          <w:p w:rsidR="002838E4" w:rsidRPr="00BE4C7C" w:rsidRDefault="002838E4" w:rsidP="00427E96">
            <w:pPr>
              <w:jc w:val="center"/>
              <w:rPr>
                <w:rFonts w:ascii="Arial" w:hAnsi="Arial" w:cs="Arial"/>
                <w:lang w:val="id-ID"/>
              </w:rPr>
            </w:pPr>
            <w:r>
              <w:rPr>
                <w:rFonts w:ascii="Arial" w:hAnsi="Arial" w:cs="Arial"/>
                <w:lang w:val="id-ID"/>
              </w:rPr>
              <w:t>Pertumbuhan Ekonomi</w:t>
            </w:r>
          </w:p>
        </w:tc>
        <w:tc>
          <w:tcPr>
            <w:tcW w:w="1276" w:type="dxa"/>
            <w:shd w:val="clear" w:color="auto" w:fill="auto"/>
          </w:tcPr>
          <w:p w:rsidR="002838E4" w:rsidRPr="00924C55" w:rsidRDefault="000478DB" w:rsidP="00427E96">
            <w:pPr>
              <w:jc w:val="center"/>
              <w:rPr>
                <w:rFonts w:ascii="Arial" w:hAnsi="Arial" w:cs="Arial"/>
              </w:rPr>
            </w:pPr>
            <m:oMathPara>
              <m:oMath>
                <m:f>
                  <m:fPr>
                    <m:ctrlPr>
                      <w:rPr>
                        <w:rFonts w:ascii="Cambria Math" w:hAnsi="Cambria Math" w:cs="Arial"/>
                        <w:b/>
                        <w:i/>
                        <w:lang w:val="id-ID"/>
                      </w:rPr>
                    </m:ctrlPr>
                  </m:fPr>
                  <m:num>
                    <m:r>
                      <m:rPr>
                        <m:sty m:val="p"/>
                      </m:rPr>
                      <w:rPr>
                        <w:rFonts w:ascii="Cambria Math" w:hAnsi="Cambria Math" w:cs="Arial"/>
                        <w:lang w:val="id-ID"/>
                      </w:rPr>
                      <m:t>(β8 + β9)</m:t>
                    </m:r>
                  </m:num>
                  <m:den>
                    <m:r>
                      <m:rPr>
                        <m:sty m:val="p"/>
                      </m:rPr>
                      <w:rPr>
                        <w:rFonts w:ascii="Cambria Math" w:hAnsi="Cambria Math" w:cs="Arial"/>
                        <w:lang w:val="id-ID"/>
                      </w:rPr>
                      <m:t>β9</m:t>
                    </m:r>
                  </m:den>
                </m:f>
              </m:oMath>
            </m:oMathPara>
          </w:p>
        </w:tc>
        <w:tc>
          <w:tcPr>
            <w:tcW w:w="2977" w:type="dxa"/>
            <w:shd w:val="clear" w:color="auto" w:fill="auto"/>
          </w:tcPr>
          <w:p w:rsidR="002838E4" w:rsidRPr="00924C55" w:rsidRDefault="000478DB" w:rsidP="00427E96">
            <w:pPr>
              <w:jc w:val="right"/>
              <w:rPr>
                <w:rFonts w:ascii="Arial" w:hAnsi="Arial" w:cs="Arial"/>
              </w:rPr>
            </w:pPr>
            <m:oMathPara>
              <m:oMath>
                <m:f>
                  <m:fPr>
                    <m:ctrlPr>
                      <w:rPr>
                        <w:rFonts w:ascii="Cambria Math" w:hAnsi="Cambria Math" w:cs="Arial"/>
                        <w:i/>
                        <w:lang w:val="id-ID"/>
                      </w:rPr>
                    </m:ctrlPr>
                  </m:fPr>
                  <m:num>
                    <m:r>
                      <m:rPr>
                        <m:sty m:val="p"/>
                      </m:rPr>
                      <w:rPr>
                        <w:rFonts w:ascii="Cambria Math" w:hAnsi="Cambria Math" w:cs="Arial"/>
                        <w:lang w:val="id-ID"/>
                      </w:rPr>
                      <m:t xml:space="preserve"> (-0.613364+0.594622 )</m:t>
                    </m:r>
                  </m:num>
                  <m:den>
                    <m:r>
                      <m:rPr>
                        <m:sty m:val="p"/>
                      </m:rPr>
                      <w:rPr>
                        <w:rFonts w:ascii="Cambria Math" w:hAnsi="Cambria Math" w:cs="Arial"/>
                        <w:lang w:val="id-ID"/>
                      </w:rPr>
                      <m:t>0.594622</m:t>
                    </m:r>
                  </m:den>
                </m:f>
              </m:oMath>
            </m:oMathPara>
          </w:p>
        </w:tc>
        <w:tc>
          <w:tcPr>
            <w:tcW w:w="1818" w:type="dxa"/>
            <w:shd w:val="clear" w:color="auto" w:fill="auto"/>
          </w:tcPr>
          <w:p w:rsidR="002838E4" w:rsidRPr="00075D4C" w:rsidRDefault="002838E4" w:rsidP="00427E96">
            <w:pPr>
              <w:jc w:val="right"/>
              <w:rPr>
                <w:rFonts w:ascii="Arial" w:hAnsi="Arial" w:cs="Arial"/>
                <w:lang w:val="id-ID"/>
              </w:rPr>
            </w:pPr>
            <w:r>
              <w:rPr>
                <w:rFonts w:ascii="Arial" w:hAnsi="Arial" w:cs="Arial"/>
                <w:lang w:val="id-ID"/>
              </w:rPr>
              <w:t>0.386636</w:t>
            </w:r>
          </w:p>
        </w:tc>
      </w:tr>
      <w:tr w:rsidR="002838E4" w:rsidRPr="00314E64" w:rsidTr="00427E96">
        <w:trPr>
          <w:trHeight w:val="750"/>
          <w:jc w:val="center"/>
        </w:trPr>
        <w:tc>
          <w:tcPr>
            <w:tcW w:w="2268" w:type="dxa"/>
            <w:shd w:val="clear" w:color="auto" w:fill="auto"/>
          </w:tcPr>
          <w:p w:rsidR="002838E4" w:rsidRPr="00924C55" w:rsidRDefault="002838E4" w:rsidP="00427E96">
            <w:pPr>
              <w:jc w:val="center"/>
              <w:rPr>
                <w:rFonts w:ascii="Arial" w:hAnsi="Arial" w:cs="Arial"/>
              </w:rPr>
            </w:pPr>
            <w:r w:rsidRPr="00924C55">
              <w:rPr>
                <w:rFonts w:ascii="Arial" w:hAnsi="Arial" w:cs="Arial"/>
              </w:rPr>
              <w:t>Konstanta</w:t>
            </w:r>
          </w:p>
        </w:tc>
        <w:tc>
          <w:tcPr>
            <w:tcW w:w="1276" w:type="dxa"/>
            <w:shd w:val="clear" w:color="auto" w:fill="auto"/>
          </w:tcPr>
          <w:p w:rsidR="002838E4" w:rsidRPr="00924C55" w:rsidRDefault="000478DB" w:rsidP="00427E96">
            <w:pPr>
              <w:jc w:val="center"/>
              <w:rPr>
                <w:rFonts w:ascii="Arial" w:hAnsi="Arial" w:cs="Arial"/>
              </w:rPr>
            </w:pPr>
            <m:oMathPara>
              <m:oMath>
                <m:f>
                  <m:fPr>
                    <m:ctrlPr>
                      <w:rPr>
                        <w:rFonts w:ascii="Cambria Math" w:hAnsi="Cambria Math" w:cs="Arial"/>
                        <w:b/>
                        <w:i/>
                        <w:lang w:val="id-ID"/>
                      </w:rPr>
                    </m:ctrlPr>
                  </m:fPr>
                  <m:num>
                    <m:r>
                      <m:rPr>
                        <m:sty m:val="p"/>
                      </m:rPr>
                      <w:rPr>
                        <w:rFonts w:ascii="Cambria Math" w:hAnsi="Cambria Math" w:cs="Arial"/>
                        <w:lang w:val="id-ID"/>
                      </w:rPr>
                      <m:t>(β0 + β9)</m:t>
                    </m:r>
                  </m:num>
                  <m:den>
                    <m:r>
                      <m:rPr>
                        <m:sty m:val="p"/>
                      </m:rPr>
                      <w:rPr>
                        <w:rFonts w:ascii="Cambria Math" w:hAnsi="Cambria Math" w:cs="Arial"/>
                        <w:lang w:val="id-ID"/>
                      </w:rPr>
                      <m:t>β9</m:t>
                    </m:r>
                  </m:den>
                </m:f>
              </m:oMath>
            </m:oMathPara>
          </w:p>
        </w:tc>
        <w:tc>
          <w:tcPr>
            <w:tcW w:w="2977" w:type="dxa"/>
            <w:shd w:val="clear" w:color="auto" w:fill="auto"/>
          </w:tcPr>
          <w:p w:rsidR="002838E4" w:rsidRPr="00924C55" w:rsidRDefault="000478DB" w:rsidP="00427E96">
            <w:pPr>
              <w:jc w:val="right"/>
              <w:rPr>
                <w:rFonts w:ascii="Arial" w:hAnsi="Arial" w:cs="Arial"/>
              </w:rPr>
            </w:pPr>
            <m:oMathPara>
              <m:oMath>
                <m:f>
                  <m:fPr>
                    <m:ctrlPr>
                      <w:rPr>
                        <w:rFonts w:ascii="Cambria Math" w:hAnsi="Cambria Math" w:cs="Arial"/>
                        <w:i/>
                        <w:lang w:val="id-ID"/>
                      </w:rPr>
                    </m:ctrlPr>
                  </m:fPr>
                  <m:num>
                    <m:r>
                      <m:rPr>
                        <m:sty m:val="p"/>
                      </m:rPr>
                      <w:rPr>
                        <w:rFonts w:ascii="Cambria Math" w:hAnsi="Cambria Math" w:cs="Arial"/>
                        <w:lang w:val="id-ID"/>
                      </w:rPr>
                      <m:t>( -7.05176+0.594622 )</m:t>
                    </m:r>
                  </m:num>
                  <m:den>
                    <m:r>
                      <m:rPr>
                        <m:sty m:val="p"/>
                      </m:rPr>
                      <w:rPr>
                        <w:rFonts w:ascii="Cambria Math" w:hAnsi="Cambria Math" w:cs="Arial"/>
                        <w:lang w:val="id-ID"/>
                      </w:rPr>
                      <m:t>0.594622</m:t>
                    </m:r>
                  </m:den>
                </m:f>
              </m:oMath>
            </m:oMathPara>
          </w:p>
        </w:tc>
        <w:tc>
          <w:tcPr>
            <w:tcW w:w="1818" w:type="dxa"/>
            <w:shd w:val="clear" w:color="auto" w:fill="auto"/>
          </w:tcPr>
          <w:p w:rsidR="002838E4" w:rsidRPr="003C430B" w:rsidRDefault="002838E4" w:rsidP="00427E96">
            <w:pPr>
              <w:jc w:val="right"/>
              <w:rPr>
                <w:rFonts w:ascii="Arial" w:hAnsi="Arial" w:cs="Arial"/>
                <w:lang w:val="id-ID"/>
              </w:rPr>
            </w:pPr>
            <w:r>
              <w:rPr>
                <w:rFonts w:ascii="Arial" w:hAnsi="Arial" w:cs="Arial"/>
                <w:lang w:val="id-ID"/>
              </w:rPr>
              <w:t>-6.05176</w:t>
            </w:r>
          </w:p>
        </w:tc>
      </w:tr>
    </w:tbl>
    <w:p w:rsidR="00A45F97" w:rsidRDefault="00A45F97" w:rsidP="00A45F97">
      <w:pPr>
        <w:spacing w:line="240" w:lineRule="auto"/>
        <w:rPr>
          <w:rFonts w:asciiTheme="majorBidi" w:hAnsiTheme="majorBidi" w:cstheme="majorBidi"/>
          <w:b/>
          <w:bCs/>
          <w:sz w:val="20"/>
          <w:szCs w:val="20"/>
        </w:rPr>
      </w:pPr>
    </w:p>
    <w:p w:rsidR="002838E4" w:rsidRPr="002838E4" w:rsidRDefault="002838E4" w:rsidP="002838E4">
      <w:pPr>
        <w:spacing w:line="240" w:lineRule="auto"/>
        <w:jc w:val="both"/>
        <w:rPr>
          <w:rFonts w:asciiTheme="majorBidi" w:hAnsiTheme="majorBidi" w:cstheme="majorBidi"/>
          <w:sz w:val="20"/>
          <w:szCs w:val="20"/>
        </w:rPr>
      </w:pPr>
      <w:r w:rsidRPr="002838E4">
        <w:rPr>
          <w:rFonts w:asciiTheme="majorBidi" w:hAnsiTheme="majorBidi" w:cstheme="majorBidi"/>
          <w:sz w:val="20"/>
          <w:szCs w:val="20"/>
        </w:rPr>
        <w:t xml:space="preserve">Hasil dalam estimasi jangka pendek adalah sebagai </w:t>
      </w:r>
      <w:proofErr w:type="gramStart"/>
      <w:r w:rsidRPr="002838E4">
        <w:rPr>
          <w:rFonts w:asciiTheme="majorBidi" w:hAnsiTheme="majorBidi" w:cstheme="majorBidi"/>
          <w:sz w:val="20"/>
          <w:szCs w:val="20"/>
        </w:rPr>
        <w:t>berikut :</w:t>
      </w:r>
      <w:proofErr w:type="gramEnd"/>
    </w:p>
    <w:p w:rsidR="002838E4" w:rsidRPr="002838E4" w:rsidRDefault="002838E4" w:rsidP="002838E4">
      <w:pPr>
        <w:spacing w:line="240" w:lineRule="auto"/>
        <w:jc w:val="both"/>
        <w:rPr>
          <w:rFonts w:asciiTheme="majorBidi" w:hAnsiTheme="majorBidi" w:cstheme="majorBidi"/>
          <w:b/>
          <w:sz w:val="20"/>
          <w:szCs w:val="20"/>
          <w:vertAlign w:val="subscript"/>
        </w:rPr>
      </w:pPr>
      <w:r w:rsidRPr="002838E4">
        <w:rPr>
          <w:rFonts w:asciiTheme="majorBidi" w:hAnsiTheme="majorBidi" w:cstheme="majorBidi"/>
          <w:b/>
          <w:sz w:val="20"/>
          <w:szCs w:val="20"/>
        </w:rPr>
        <w:t xml:space="preserve">DReturn = </w:t>
      </w:r>
      <w:r w:rsidRPr="002838E4">
        <w:rPr>
          <w:rFonts w:asciiTheme="majorBidi" w:eastAsia="Times New Roman" w:hAnsiTheme="majorBidi" w:cstheme="majorBidi"/>
          <w:b/>
          <w:color w:val="000000"/>
          <w:sz w:val="20"/>
          <w:szCs w:val="20"/>
          <w:lang w:val="id-ID"/>
        </w:rPr>
        <w:t xml:space="preserve">- 0.705176 </w:t>
      </w:r>
      <w:r w:rsidRPr="002838E4">
        <w:rPr>
          <w:rFonts w:asciiTheme="majorBidi" w:hAnsiTheme="majorBidi" w:cstheme="majorBidi"/>
          <w:b/>
          <w:sz w:val="20"/>
          <w:szCs w:val="20"/>
          <w:lang w:val="id-ID"/>
        </w:rPr>
        <w:t>+</w:t>
      </w:r>
      <w:r w:rsidRPr="002838E4">
        <w:rPr>
          <w:rFonts w:asciiTheme="majorBidi" w:eastAsia="Times New Roman" w:hAnsiTheme="majorBidi" w:cstheme="majorBidi"/>
          <w:b/>
          <w:color w:val="000000"/>
          <w:sz w:val="20"/>
          <w:szCs w:val="20"/>
          <w:lang w:val="id-ID"/>
        </w:rPr>
        <w:t>2.654267</w:t>
      </w:r>
      <w:r w:rsidRPr="002838E4">
        <w:rPr>
          <w:rFonts w:asciiTheme="majorBidi" w:hAnsiTheme="majorBidi" w:cstheme="majorBidi"/>
          <w:b/>
          <w:sz w:val="20"/>
          <w:szCs w:val="20"/>
        </w:rPr>
        <w:t>DINF</w:t>
      </w:r>
      <w:r w:rsidRPr="002838E4">
        <w:rPr>
          <w:rFonts w:asciiTheme="majorBidi" w:hAnsiTheme="majorBidi" w:cstheme="majorBidi"/>
          <w:b/>
          <w:sz w:val="20"/>
          <w:szCs w:val="20"/>
          <w:vertAlign w:val="subscript"/>
        </w:rPr>
        <w:t xml:space="preserve">t </w:t>
      </w:r>
      <w:r w:rsidRPr="002838E4">
        <w:rPr>
          <w:rFonts w:asciiTheme="majorBidi" w:hAnsiTheme="majorBidi" w:cstheme="majorBidi"/>
          <w:b/>
          <w:sz w:val="20"/>
          <w:szCs w:val="20"/>
          <w:lang w:val="id-ID"/>
        </w:rPr>
        <w:t>-</w:t>
      </w:r>
      <w:r w:rsidRPr="002838E4">
        <w:rPr>
          <w:rFonts w:asciiTheme="majorBidi" w:eastAsia="Times New Roman" w:hAnsiTheme="majorBidi" w:cstheme="majorBidi"/>
          <w:b/>
          <w:color w:val="000000"/>
          <w:sz w:val="20"/>
          <w:szCs w:val="20"/>
          <w:lang w:val="id-ID"/>
        </w:rPr>
        <w:t>429.2557</w:t>
      </w:r>
      <w:r w:rsidRPr="002838E4">
        <w:rPr>
          <w:rFonts w:asciiTheme="majorBidi" w:hAnsiTheme="majorBidi" w:cstheme="majorBidi"/>
          <w:b/>
          <w:sz w:val="20"/>
          <w:szCs w:val="20"/>
          <w:lang w:val="id-ID"/>
        </w:rPr>
        <w:t>D</w:t>
      </w:r>
      <w:r w:rsidRPr="002838E4">
        <w:rPr>
          <w:rFonts w:asciiTheme="majorBidi" w:hAnsiTheme="majorBidi" w:cstheme="majorBidi"/>
          <w:b/>
          <w:sz w:val="20"/>
          <w:szCs w:val="20"/>
        </w:rPr>
        <w:t>NT</w:t>
      </w:r>
      <w:r w:rsidRPr="002838E4">
        <w:rPr>
          <w:rFonts w:asciiTheme="majorBidi" w:hAnsiTheme="majorBidi" w:cstheme="majorBidi"/>
          <w:b/>
          <w:sz w:val="20"/>
          <w:szCs w:val="20"/>
          <w:vertAlign w:val="subscript"/>
        </w:rPr>
        <w:t>t</w:t>
      </w:r>
      <w:r w:rsidRPr="002838E4">
        <w:rPr>
          <w:rFonts w:asciiTheme="majorBidi" w:hAnsiTheme="majorBidi" w:cstheme="majorBidi"/>
          <w:b/>
          <w:sz w:val="20"/>
          <w:szCs w:val="20"/>
          <w:lang w:val="id-ID"/>
        </w:rPr>
        <w:t>–</w:t>
      </w:r>
      <w:r w:rsidRPr="002838E4">
        <w:rPr>
          <w:rFonts w:asciiTheme="majorBidi" w:eastAsia="Times New Roman" w:hAnsiTheme="majorBidi" w:cstheme="majorBidi"/>
          <w:b/>
          <w:color w:val="000000"/>
          <w:sz w:val="20"/>
          <w:szCs w:val="20"/>
          <w:lang w:val="id-ID"/>
        </w:rPr>
        <w:t>20.15811</w:t>
      </w:r>
      <w:r w:rsidRPr="002838E4">
        <w:rPr>
          <w:rFonts w:asciiTheme="majorBidi" w:hAnsiTheme="majorBidi" w:cstheme="majorBidi"/>
          <w:b/>
          <w:sz w:val="20"/>
          <w:szCs w:val="20"/>
          <w:lang w:val="id-ID"/>
        </w:rPr>
        <w:t>D</w:t>
      </w:r>
      <w:r w:rsidRPr="002838E4">
        <w:rPr>
          <w:rFonts w:asciiTheme="majorBidi" w:hAnsiTheme="majorBidi" w:cstheme="majorBidi"/>
          <w:b/>
          <w:sz w:val="20"/>
          <w:szCs w:val="20"/>
        </w:rPr>
        <w:t>BIRate</w:t>
      </w:r>
      <w:r w:rsidRPr="002838E4">
        <w:rPr>
          <w:rFonts w:asciiTheme="majorBidi" w:hAnsiTheme="majorBidi" w:cstheme="majorBidi"/>
          <w:b/>
          <w:sz w:val="20"/>
          <w:szCs w:val="20"/>
          <w:vertAlign w:val="subscript"/>
        </w:rPr>
        <w:t>t</w:t>
      </w:r>
      <w:r w:rsidRPr="002838E4">
        <w:rPr>
          <w:rFonts w:asciiTheme="majorBidi" w:hAnsiTheme="majorBidi" w:cstheme="majorBidi"/>
          <w:b/>
          <w:sz w:val="20"/>
          <w:szCs w:val="20"/>
        </w:rPr>
        <w:t xml:space="preserve"> – </w:t>
      </w:r>
      <w:r w:rsidRPr="002838E4">
        <w:rPr>
          <w:rFonts w:asciiTheme="majorBidi" w:eastAsia="Times New Roman" w:hAnsiTheme="majorBidi" w:cstheme="majorBidi"/>
          <w:b/>
          <w:color w:val="000000"/>
          <w:sz w:val="20"/>
          <w:szCs w:val="20"/>
          <w:lang w:val="id-ID"/>
        </w:rPr>
        <w:t>3.637765</w:t>
      </w:r>
      <w:r w:rsidRPr="002838E4">
        <w:rPr>
          <w:rFonts w:asciiTheme="majorBidi" w:hAnsiTheme="majorBidi" w:cstheme="majorBidi"/>
          <w:b/>
          <w:sz w:val="20"/>
          <w:szCs w:val="20"/>
        </w:rPr>
        <w:t>DPE</w:t>
      </w:r>
      <w:r w:rsidRPr="002838E4">
        <w:rPr>
          <w:rFonts w:asciiTheme="majorBidi" w:hAnsiTheme="majorBidi" w:cstheme="majorBidi"/>
          <w:b/>
          <w:sz w:val="20"/>
          <w:szCs w:val="20"/>
          <w:vertAlign w:val="subscript"/>
        </w:rPr>
        <w:t>t</w:t>
      </w:r>
    </w:p>
    <w:p w:rsidR="002838E4" w:rsidRPr="002838E4" w:rsidRDefault="002838E4" w:rsidP="002838E4">
      <w:pPr>
        <w:spacing w:line="240" w:lineRule="auto"/>
        <w:jc w:val="both"/>
        <w:rPr>
          <w:rFonts w:asciiTheme="majorBidi" w:hAnsiTheme="majorBidi" w:cstheme="majorBidi"/>
          <w:sz w:val="20"/>
          <w:szCs w:val="20"/>
        </w:rPr>
      </w:pPr>
      <w:r w:rsidRPr="002838E4">
        <w:rPr>
          <w:rFonts w:asciiTheme="majorBidi" w:hAnsiTheme="majorBidi" w:cstheme="majorBidi"/>
          <w:sz w:val="20"/>
          <w:szCs w:val="20"/>
        </w:rPr>
        <w:t xml:space="preserve">Hasil estimasi jangka panjang adalah sebagai </w:t>
      </w:r>
      <w:proofErr w:type="gramStart"/>
      <w:r w:rsidRPr="002838E4">
        <w:rPr>
          <w:rFonts w:asciiTheme="majorBidi" w:hAnsiTheme="majorBidi" w:cstheme="majorBidi"/>
          <w:sz w:val="20"/>
          <w:szCs w:val="20"/>
        </w:rPr>
        <w:t>berikut :</w:t>
      </w:r>
      <w:proofErr w:type="gramEnd"/>
    </w:p>
    <w:p w:rsidR="002838E4" w:rsidRPr="002838E4" w:rsidRDefault="002838E4" w:rsidP="002838E4">
      <w:pPr>
        <w:spacing w:line="240" w:lineRule="auto"/>
        <w:jc w:val="both"/>
        <w:rPr>
          <w:rFonts w:asciiTheme="majorBidi" w:hAnsiTheme="majorBidi" w:cstheme="majorBidi"/>
          <w:b/>
          <w:sz w:val="20"/>
          <w:szCs w:val="20"/>
          <w:vertAlign w:val="subscript"/>
        </w:rPr>
      </w:pPr>
      <w:r w:rsidRPr="002838E4">
        <w:rPr>
          <w:rFonts w:asciiTheme="majorBidi" w:hAnsiTheme="majorBidi" w:cstheme="majorBidi"/>
          <w:b/>
          <w:sz w:val="20"/>
          <w:szCs w:val="20"/>
        </w:rPr>
        <w:t xml:space="preserve">DReturn = </w:t>
      </w:r>
      <w:r w:rsidRPr="002838E4">
        <w:rPr>
          <w:rFonts w:asciiTheme="majorBidi" w:hAnsiTheme="majorBidi" w:cstheme="majorBidi"/>
          <w:b/>
          <w:sz w:val="20"/>
          <w:szCs w:val="20"/>
          <w:lang w:val="id-ID"/>
        </w:rPr>
        <w:t>-6.05176–1.013002</w:t>
      </w:r>
      <w:r w:rsidRPr="002838E4">
        <w:rPr>
          <w:rFonts w:asciiTheme="majorBidi" w:hAnsiTheme="majorBidi" w:cstheme="majorBidi"/>
          <w:b/>
          <w:sz w:val="20"/>
          <w:szCs w:val="20"/>
        </w:rPr>
        <w:t>INF</w:t>
      </w:r>
      <w:r w:rsidRPr="002838E4">
        <w:rPr>
          <w:rFonts w:asciiTheme="majorBidi" w:hAnsiTheme="majorBidi" w:cstheme="majorBidi"/>
          <w:b/>
          <w:sz w:val="20"/>
          <w:szCs w:val="20"/>
          <w:vertAlign w:val="subscript"/>
        </w:rPr>
        <w:t xml:space="preserve">t-1 </w:t>
      </w:r>
      <w:r w:rsidRPr="002838E4">
        <w:rPr>
          <w:rFonts w:asciiTheme="majorBidi" w:hAnsiTheme="majorBidi" w:cstheme="majorBidi"/>
          <w:b/>
          <w:sz w:val="20"/>
          <w:szCs w:val="20"/>
          <w:lang w:val="id-ID"/>
        </w:rPr>
        <w:t>+ 63.41186</w:t>
      </w:r>
      <w:r w:rsidRPr="002838E4">
        <w:rPr>
          <w:rFonts w:asciiTheme="majorBidi" w:hAnsiTheme="majorBidi" w:cstheme="majorBidi"/>
          <w:b/>
          <w:sz w:val="20"/>
          <w:szCs w:val="20"/>
        </w:rPr>
        <w:t>NT</w:t>
      </w:r>
      <w:r w:rsidRPr="002838E4">
        <w:rPr>
          <w:rFonts w:asciiTheme="majorBidi" w:hAnsiTheme="majorBidi" w:cstheme="majorBidi"/>
          <w:b/>
          <w:sz w:val="20"/>
          <w:szCs w:val="20"/>
          <w:vertAlign w:val="subscript"/>
        </w:rPr>
        <w:t xml:space="preserve">t-1 </w:t>
      </w:r>
      <w:r w:rsidRPr="002838E4">
        <w:rPr>
          <w:rFonts w:asciiTheme="majorBidi" w:hAnsiTheme="majorBidi" w:cstheme="majorBidi"/>
          <w:b/>
          <w:sz w:val="20"/>
          <w:szCs w:val="20"/>
          <w:lang w:val="id-ID"/>
        </w:rPr>
        <w:t>+8.167584</w:t>
      </w:r>
      <w:r w:rsidRPr="002838E4">
        <w:rPr>
          <w:rFonts w:asciiTheme="majorBidi" w:hAnsiTheme="majorBidi" w:cstheme="majorBidi"/>
          <w:b/>
          <w:sz w:val="20"/>
          <w:szCs w:val="20"/>
        </w:rPr>
        <w:t>BIRate</w:t>
      </w:r>
      <w:r w:rsidRPr="002838E4">
        <w:rPr>
          <w:rFonts w:asciiTheme="majorBidi" w:hAnsiTheme="majorBidi" w:cstheme="majorBidi"/>
          <w:b/>
          <w:sz w:val="20"/>
          <w:szCs w:val="20"/>
          <w:vertAlign w:val="subscript"/>
        </w:rPr>
        <w:t xml:space="preserve">t-1 </w:t>
      </w:r>
      <w:r w:rsidRPr="002838E4">
        <w:rPr>
          <w:rFonts w:asciiTheme="majorBidi" w:hAnsiTheme="majorBidi" w:cstheme="majorBidi"/>
          <w:b/>
          <w:sz w:val="20"/>
          <w:szCs w:val="20"/>
          <w:lang w:val="id-ID"/>
        </w:rPr>
        <w:t>+0.386636</w:t>
      </w:r>
      <w:r w:rsidRPr="002838E4">
        <w:rPr>
          <w:rFonts w:asciiTheme="majorBidi" w:hAnsiTheme="majorBidi" w:cstheme="majorBidi"/>
          <w:b/>
          <w:sz w:val="20"/>
          <w:szCs w:val="20"/>
        </w:rPr>
        <w:t>PE</w:t>
      </w:r>
      <w:r>
        <w:rPr>
          <w:rFonts w:asciiTheme="majorBidi" w:hAnsiTheme="majorBidi" w:cstheme="majorBidi"/>
          <w:b/>
          <w:sz w:val="20"/>
          <w:szCs w:val="20"/>
          <w:vertAlign w:val="subscript"/>
        </w:rPr>
        <w:t>t-1</w:t>
      </w:r>
    </w:p>
    <w:p w:rsidR="002838E4" w:rsidRDefault="002838E4" w:rsidP="00A45F97">
      <w:pPr>
        <w:spacing w:line="240" w:lineRule="auto"/>
        <w:rPr>
          <w:rFonts w:asciiTheme="majorBidi" w:hAnsiTheme="majorBidi" w:cstheme="majorBidi"/>
          <w:b/>
          <w:bCs/>
          <w:sz w:val="20"/>
          <w:szCs w:val="20"/>
        </w:rPr>
      </w:pPr>
    </w:p>
    <w:p w:rsidR="002838E4" w:rsidRDefault="002838E4" w:rsidP="002838E4">
      <w:pPr>
        <w:pStyle w:val="ListParagraph"/>
        <w:numPr>
          <w:ilvl w:val="0"/>
          <w:numId w:val="7"/>
        </w:numPr>
        <w:spacing w:line="240" w:lineRule="auto"/>
        <w:ind w:left="180" w:hanging="270"/>
        <w:rPr>
          <w:rFonts w:asciiTheme="majorBidi" w:hAnsiTheme="majorBidi" w:cstheme="majorBidi"/>
          <w:b/>
          <w:bCs/>
          <w:sz w:val="20"/>
          <w:szCs w:val="20"/>
        </w:rPr>
      </w:pPr>
      <w:r>
        <w:rPr>
          <w:rFonts w:asciiTheme="majorBidi" w:hAnsiTheme="majorBidi" w:cstheme="majorBidi"/>
          <w:b/>
          <w:bCs/>
          <w:sz w:val="20"/>
          <w:szCs w:val="20"/>
        </w:rPr>
        <w:t>Pembahasan</w:t>
      </w:r>
    </w:p>
    <w:p w:rsidR="002838E4" w:rsidRDefault="002838E4" w:rsidP="002838E4">
      <w:pPr>
        <w:spacing w:line="240" w:lineRule="auto"/>
        <w:ind w:left="-90"/>
        <w:rPr>
          <w:rFonts w:asciiTheme="majorBidi" w:hAnsiTheme="majorBidi" w:cstheme="majorBidi"/>
          <w:b/>
          <w:bCs/>
          <w:sz w:val="20"/>
          <w:szCs w:val="20"/>
        </w:rPr>
      </w:pPr>
      <w:r w:rsidRPr="002838E4">
        <w:rPr>
          <w:rFonts w:asciiTheme="majorBidi" w:hAnsiTheme="majorBidi" w:cstheme="majorBidi"/>
          <w:b/>
          <w:bCs/>
          <w:sz w:val="20"/>
          <w:szCs w:val="20"/>
        </w:rPr>
        <w:t xml:space="preserve">Pengaruh </w:t>
      </w:r>
      <w:r w:rsidRPr="002838E4">
        <w:rPr>
          <w:rFonts w:asciiTheme="majorBidi" w:hAnsiTheme="majorBidi" w:cstheme="majorBidi"/>
          <w:b/>
          <w:bCs/>
          <w:sz w:val="20"/>
          <w:szCs w:val="20"/>
          <w:lang w:val="id-ID"/>
        </w:rPr>
        <w:t>I</w:t>
      </w:r>
      <w:r w:rsidRPr="002838E4">
        <w:rPr>
          <w:rFonts w:asciiTheme="majorBidi" w:hAnsiTheme="majorBidi" w:cstheme="majorBidi"/>
          <w:b/>
          <w:bCs/>
          <w:sz w:val="20"/>
          <w:szCs w:val="20"/>
        </w:rPr>
        <w:t xml:space="preserve">nflasi Terhadap </w:t>
      </w:r>
      <w:r w:rsidRPr="002838E4">
        <w:rPr>
          <w:rFonts w:asciiTheme="majorBidi" w:hAnsiTheme="majorBidi" w:cstheme="majorBidi"/>
          <w:b/>
          <w:bCs/>
          <w:i/>
          <w:sz w:val="20"/>
          <w:szCs w:val="20"/>
        </w:rPr>
        <w:t>Return</w:t>
      </w:r>
      <w:r w:rsidRPr="002838E4">
        <w:rPr>
          <w:rFonts w:asciiTheme="majorBidi" w:hAnsiTheme="majorBidi" w:cstheme="majorBidi"/>
          <w:b/>
          <w:bCs/>
          <w:sz w:val="20"/>
          <w:szCs w:val="20"/>
        </w:rPr>
        <w:t xml:space="preserve"> Saham PT.Semen Indonesia</w:t>
      </w:r>
    </w:p>
    <w:p w:rsidR="002838E4" w:rsidRPr="002838E4" w:rsidRDefault="002838E4" w:rsidP="00E73C88">
      <w:pPr>
        <w:spacing w:line="240" w:lineRule="auto"/>
        <w:ind w:firstLine="720"/>
        <w:contextualSpacing/>
        <w:jc w:val="both"/>
        <w:rPr>
          <w:rFonts w:asciiTheme="majorBidi" w:hAnsiTheme="majorBidi" w:cstheme="majorBidi"/>
          <w:sz w:val="20"/>
          <w:szCs w:val="20"/>
        </w:rPr>
      </w:pPr>
      <w:r w:rsidRPr="002838E4">
        <w:rPr>
          <w:rFonts w:asciiTheme="majorBidi" w:hAnsiTheme="majorBidi" w:cstheme="majorBidi"/>
          <w:sz w:val="20"/>
          <w:szCs w:val="20"/>
        </w:rPr>
        <w:t xml:space="preserve">Dengan tidak adanya pengaruh signifikan antara inflasi dengan harga saham pada PT.Semen Indonesia ini juga didukung oleh penelitian Livia (2013) bahwa inflasi dan BI </w:t>
      </w:r>
      <w:r w:rsidRPr="002838E4">
        <w:rPr>
          <w:rFonts w:asciiTheme="majorBidi" w:hAnsiTheme="majorBidi" w:cstheme="majorBidi"/>
          <w:i/>
          <w:sz w:val="20"/>
          <w:szCs w:val="20"/>
        </w:rPr>
        <w:t>rate</w:t>
      </w:r>
      <w:r w:rsidRPr="002838E4">
        <w:rPr>
          <w:rFonts w:asciiTheme="majorBidi" w:hAnsiTheme="majorBidi" w:cstheme="majorBidi"/>
          <w:sz w:val="20"/>
          <w:szCs w:val="20"/>
        </w:rPr>
        <w:t xml:space="preserve"> tidak berpengaruh terhadap </w:t>
      </w:r>
      <w:r w:rsidRPr="002838E4">
        <w:rPr>
          <w:rFonts w:asciiTheme="majorBidi" w:hAnsiTheme="majorBidi" w:cstheme="majorBidi"/>
          <w:i/>
          <w:sz w:val="20"/>
          <w:szCs w:val="20"/>
        </w:rPr>
        <w:t>return</w:t>
      </w:r>
      <w:r w:rsidRPr="002838E4">
        <w:rPr>
          <w:rFonts w:asciiTheme="majorBidi" w:hAnsiTheme="majorBidi" w:cstheme="majorBidi"/>
          <w:sz w:val="20"/>
          <w:szCs w:val="20"/>
        </w:rPr>
        <w:t xml:space="preserve"> saham pada kapitalisasi besar di BEI dan Suramaya (2012) bahwa inflasi, tingkat suku bunga SBI dan pertumbuhan PDB tidak berpengaruh terhadap IHSG. Dengan adanya perubahan pergerakan inflasi pada periode 200</w:t>
      </w:r>
      <w:r w:rsidRPr="002838E4">
        <w:rPr>
          <w:rFonts w:asciiTheme="majorBidi" w:hAnsiTheme="majorBidi" w:cstheme="majorBidi"/>
          <w:sz w:val="20"/>
          <w:szCs w:val="20"/>
          <w:lang w:val="id-ID"/>
        </w:rPr>
        <w:t>5</w:t>
      </w:r>
      <w:r w:rsidRPr="002838E4">
        <w:rPr>
          <w:rFonts w:asciiTheme="majorBidi" w:hAnsiTheme="majorBidi" w:cstheme="majorBidi"/>
          <w:sz w:val="20"/>
          <w:szCs w:val="20"/>
        </w:rPr>
        <w:t xml:space="preserve"> – 2014 tidak mempunyai hubungan dengan </w:t>
      </w:r>
      <w:r w:rsidRPr="002838E4">
        <w:rPr>
          <w:rFonts w:asciiTheme="majorBidi" w:hAnsiTheme="majorBidi" w:cstheme="majorBidi"/>
          <w:i/>
          <w:sz w:val="20"/>
          <w:szCs w:val="20"/>
        </w:rPr>
        <w:t>return</w:t>
      </w:r>
      <w:r w:rsidRPr="002838E4">
        <w:rPr>
          <w:rFonts w:asciiTheme="majorBidi" w:hAnsiTheme="majorBidi" w:cstheme="majorBidi"/>
          <w:sz w:val="20"/>
          <w:szCs w:val="20"/>
        </w:rPr>
        <w:t xml:space="preserve"> saham pada PT.Semen Indoneisa. Dalam hal ini investor tidak mempertimbangkan inflasi dalam pengambilan keputusan untuk berinvestasi di PT.Semen Indonesia untuk mendapatkan </w:t>
      </w:r>
      <w:r w:rsidRPr="002838E4">
        <w:rPr>
          <w:rFonts w:asciiTheme="majorBidi" w:hAnsiTheme="majorBidi" w:cstheme="majorBidi"/>
          <w:i/>
          <w:sz w:val="20"/>
          <w:szCs w:val="20"/>
        </w:rPr>
        <w:t>return</w:t>
      </w:r>
      <w:r w:rsidRPr="002838E4">
        <w:rPr>
          <w:rFonts w:asciiTheme="majorBidi" w:hAnsiTheme="majorBidi" w:cstheme="majorBidi"/>
          <w:sz w:val="20"/>
          <w:szCs w:val="20"/>
        </w:rPr>
        <w:t xml:space="preserve"> yang mana sesuai dengan grafik di atas. Inflasi pada periode 200</w:t>
      </w:r>
      <w:r w:rsidRPr="002838E4">
        <w:rPr>
          <w:rFonts w:asciiTheme="majorBidi" w:hAnsiTheme="majorBidi" w:cstheme="majorBidi"/>
          <w:sz w:val="20"/>
          <w:szCs w:val="20"/>
          <w:lang w:val="id-ID"/>
        </w:rPr>
        <w:t>5</w:t>
      </w:r>
      <w:r w:rsidRPr="002838E4">
        <w:rPr>
          <w:rFonts w:asciiTheme="majorBidi" w:hAnsiTheme="majorBidi" w:cstheme="majorBidi"/>
          <w:sz w:val="20"/>
          <w:szCs w:val="20"/>
        </w:rPr>
        <w:t xml:space="preserve"> – 2014 sempat mengalami kenaikan pada triwulan I 2008 sebesar 11.7% namun kembali stabil pada triwulan IV 2008 dan mengalami kenaikan lagi pada triwulan III 2013 sebesar 8.4% yang pada triwulan II 2008 hanya 5.9% yang diakibtakan oleh kenaikan BBM (sumber Jawa Pos edisi Selasa 18 November 2014) dan turun pada pada triwulan II 2014 menjadi 6.7%.</w:t>
      </w:r>
    </w:p>
    <w:p w:rsidR="002838E4" w:rsidRPr="002838E4" w:rsidRDefault="002838E4" w:rsidP="002838E4">
      <w:pPr>
        <w:spacing w:line="240" w:lineRule="auto"/>
        <w:contextualSpacing/>
        <w:jc w:val="both"/>
        <w:rPr>
          <w:rFonts w:asciiTheme="majorBidi" w:hAnsiTheme="majorBidi" w:cstheme="majorBidi"/>
          <w:sz w:val="20"/>
          <w:szCs w:val="20"/>
          <w:lang w:val="id-ID"/>
        </w:rPr>
      </w:pPr>
      <w:r w:rsidRPr="002838E4">
        <w:rPr>
          <w:rFonts w:asciiTheme="majorBidi" w:hAnsiTheme="majorBidi" w:cstheme="majorBidi"/>
          <w:sz w:val="20"/>
          <w:szCs w:val="20"/>
        </w:rPr>
        <w:tab/>
      </w:r>
      <w:r w:rsidRPr="002838E4">
        <w:rPr>
          <w:rFonts w:asciiTheme="majorBidi" w:hAnsiTheme="majorBidi" w:cstheme="majorBidi"/>
          <w:sz w:val="20"/>
          <w:szCs w:val="20"/>
          <w:lang w:val="id-ID"/>
        </w:rPr>
        <w:t xml:space="preserve">Dalam jangka pendek dan jangka panjang inflasi tidak berpengaruh signifikan terhadap </w:t>
      </w:r>
      <w:r w:rsidRPr="002838E4">
        <w:rPr>
          <w:rFonts w:asciiTheme="majorBidi" w:hAnsiTheme="majorBidi" w:cstheme="majorBidi"/>
          <w:i/>
          <w:sz w:val="20"/>
          <w:szCs w:val="20"/>
          <w:lang w:val="id-ID"/>
        </w:rPr>
        <w:t>return</w:t>
      </w:r>
      <w:r w:rsidRPr="002838E4">
        <w:rPr>
          <w:rFonts w:asciiTheme="majorBidi" w:hAnsiTheme="majorBidi" w:cstheme="majorBidi"/>
          <w:sz w:val="20"/>
          <w:szCs w:val="20"/>
          <w:lang w:val="id-ID"/>
        </w:rPr>
        <w:t xml:space="preserve"> saham PT.Semen Indonesia ini disebabkan adanya spekulasi yang dilakukan oleh investor itu sendiri. Dimana apabila terjadi inflasi maka akan menyebabkan penurunan produksi karena terjadi kenaikan harga - harga yang menimbulkan profitabilitas perusahaan menurun, kenaikan biaya produksi akan </w:t>
      </w:r>
      <w:r w:rsidRPr="002838E4">
        <w:rPr>
          <w:rFonts w:asciiTheme="majorBidi" w:hAnsiTheme="majorBidi" w:cstheme="majorBidi"/>
          <w:sz w:val="20"/>
          <w:szCs w:val="20"/>
          <w:lang w:val="id-ID"/>
        </w:rPr>
        <w:lastRenderedPageBreak/>
        <w:t xml:space="preserve">mengakibatkan turunnya produksi </w:t>
      </w:r>
      <w:r w:rsidRPr="002838E4">
        <w:rPr>
          <w:rFonts w:asciiTheme="majorBidi" w:hAnsiTheme="majorBidi" w:cstheme="majorBidi"/>
          <w:i/>
          <w:sz w:val="20"/>
          <w:szCs w:val="20"/>
          <w:lang w:val="id-ID"/>
        </w:rPr>
        <w:t>(cost push inflation)</w:t>
      </w:r>
      <w:r w:rsidRPr="002838E4">
        <w:rPr>
          <w:rFonts w:asciiTheme="majorBidi" w:hAnsiTheme="majorBidi" w:cstheme="majorBidi"/>
          <w:sz w:val="20"/>
          <w:szCs w:val="20"/>
          <w:lang w:val="id-ID"/>
        </w:rPr>
        <w:t xml:space="preserve">. Di sisi lain, dengan adanya inflasi maka investor berasumsi akan terjadi permintaan secara agregat untuk menghindari kerugian dalam memegang uang karena terjadi penurunan daya beli uang. Permintaan secara agregat ini yang mempengaruhi spekulasi investor untuk berinvestasi dalam mendapatkan keuntungan dimana teori sesuai dengan </w:t>
      </w:r>
      <w:r w:rsidRPr="002838E4">
        <w:rPr>
          <w:rFonts w:asciiTheme="majorBidi" w:hAnsiTheme="majorBidi" w:cstheme="majorBidi"/>
          <w:i/>
          <w:sz w:val="20"/>
          <w:szCs w:val="20"/>
          <w:lang w:val="id-ID"/>
        </w:rPr>
        <w:t>demand pull inflation</w:t>
      </w:r>
      <w:r w:rsidRPr="002838E4">
        <w:rPr>
          <w:rFonts w:asciiTheme="majorBidi" w:hAnsiTheme="majorBidi" w:cstheme="majorBidi"/>
          <w:sz w:val="20"/>
          <w:szCs w:val="20"/>
          <w:lang w:val="id-ID"/>
        </w:rPr>
        <w:t>. Maka dari itu, dengan adanya perubahan inflasi cenderung investor mempertimbangkan dari sudut pandang berbeda.</w:t>
      </w:r>
    </w:p>
    <w:p w:rsidR="002838E4" w:rsidRDefault="002838E4" w:rsidP="002838E4">
      <w:pPr>
        <w:spacing w:line="240" w:lineRule="auto"/>
        <w:ind w:left="-90"/>
        <w:rPr>
          <w:rFonts w:asciiTheme="majorBidi" w:hAnsiTheme="majorBidi" w:cstheme="majorBidi"/>
          <w:b/>
          <w:bCs/>
          <w:sz w:val="20"/>
          <w:szCs w:val="20"/>
          <w:lang w:val="id-ID"/>
        </w:rPr>
      </w:pPr>
    </w:p>
    <w:p w:rsidR="00E73C88" w:rsidRDefault="00E73C88" w:rsidP="002838E4">
      <w:pPr>
        <w:spacing w:line="240" w:lineRule="auto"/>
        <w:ind w:left="-90"/>
        <w:rPr>
          <w:rFonts w:asciiTheme="majorBidi" w:hAnsiTheme="majorBidi" w:cstheme="majorBidi"/>
          <w:b/>
          <w:bCs/>
          <w:sz w:val="20"/>
          <w:szCs w:val="20"/>
        </w:rPr>
      </w:pPr>
      <w:r w:rsidRPr="00E73C88">
        <w:rPr>
          <w:rFonts w:asciiTheme="majorBidi" w:hAnsiTheme="majorBidi" w:cstheme="majorBidi"/>
          <w:b/>
          <w:bCs/>
          <w:sz w:val="20"/>
          <w:szCs w:val="20"/>
        </w:rPr>
        <w:t xml:space="preserve">Pengaruh Nilai Tukar Terhadap </w:t>
      </w:r>
      <w:r w:rsidRPr="00E73C88">
        <w:rPr>
          <w:rFonts w:asciiTheme="majorBidi" w:hAnsiTheme="majorBidi" w:cstheme="majorBidi"/>
          <w:b/>
          <w:bCs/>
          <w:i/>
          <w:sz w:val="20"/>
          <w:szCs w:val="20"/>
        </w:rPr>
        <w:t>Return</w:t>
      </w:r>
      <w:r w:rsidRPr="00E73C88">
        <w:rPr>
          <w:rFonts w:asciiTheme="majorBidi" w:hAnsiTheme="majorBidi" w:cstheme="majorBidi"/>
          <w:b/>
          <w:bCs/>
          <w:sz w:val="20"/>
          <w:szCs w:val="20"/>
        </w:rPr>
        <w:t xml:space="preserve"> Saham PT.Semen Indonesia</w:t>
      </w:r>
    </w:p>
    <w:p w:rsidR="00E73C88" w:rsidRDefault="00E73C88" w:rsidP="00E73C88">
      <w:pPr>
        <w:spacing w:line="240" w:lineRule="auto"/>
        <w:ind w:left="-90" w:firstLine="810"/>
        <w:jc w:val="both"/>
        <w:rPr>
          <w:rFonts w:asciiTheme="majorBidi" w:hAnsiTheme="majorBidi" w:cstheme="majorBidi"/>
          <w:sz w:val="20"/>
          <w:szCs w:val="20"/>
          <w:lang w:val="id-ID"/>
        </w:rPr>
      </w:pPr>
      <w:r w:rsidRPr="00E73C88">
        <w:rPr>
          <w:rFonts w:asciiTheme="majorBidi" w:hAnsiTheme="majorBidi" w:cstheme="majorBidi"/>
          <w:sz w:val="20"/>
          <w:szCs w:val="20"/>
          <w:lang w:val="id-ID"/>
        </w:rPr>
        <w:t xml:space="preserve">Dalam jangka pendek dan jangka panjang </w:t>
      </w:r>
      <w:r w:rsidRPr="00E73C88">
        <w:rPr>
          <w:rFonts w:asciiTheme="majorBidi" w:hAnsiTheme="majorBidi" w:cstheme="majorBidi"/>
          <w:sz w:val="20"/>
          <w:szCs w:val="20"/>
        </w:rPr>
        <w:t>nilai tukar</w:t>
      </w:r>
      <w:r w:rsidRPr="00E73C88">
        <w:rPr>
          <w:rFonts w:asciiTheme="majorBidi" w:hAnsiTheme="majorBidi" w:cstheme="majorBidi"/>
          <w:sz w:val="20"/>
          <w:szCs w:val="20"/>
          <w:lang w:val="id-ID"/>
        </w:rPr>
        <w:t xml:space="preserve"> tidak berpengaruh signifikan terhadap </w:t>
      </w:r>
      <w:r w:rsidRPr="00E73C88">
        <w:rPr>
          <w:rFonts w:asciiTheme="majorBidi" w:hAnsiTheme="majorBidi" w:cstheme="majorBidi"/>
          <w:i/>
          <w:sz w:val="20"/>
          <w:szCs w:val="20"/>
          <w:lang w:val="id-ID"/>
        </w:rPr>
        <w:t>return</w:t>
      </w:r>
      <w:r w:rsidRPr="00E73C88">
        <w:rPr>
          <w:rFonts w:asciiTheme="majorBidi" w:hAnsiTheme="majorBidi" w:cstheme="majorBidi"/>
          <w:sz w:val="20"/>
          <w:szCs w:val="20"/>
          <w:lang w:val="id-ID"/>
        </w:rPr>
        <w:t xml:space="preserve"> saham PT.Semen Indonesia hal ini juga disebabkan adanya spekulasi yang dilakukan oleh investor itu sendiri. Dimana nilai tukar dapat mempengaruhi harga saham menurut teori dari Dornbusch (2004) yaitu </w:t>
      </w:r>
      <w:r w:rsidRPr="00E73C88">
        <w:rPr>
          <w:rFonts w:asciiTheme="majorBidi" w:hAnsiTheme="majorBidi" w:cstheme="majorBidi"/>
          <w:i/>
          <w:sz w:val="20"/>
          <w:szCs w:val="20"/>
          <w:lang w:val="id-ID"/>
        </w:rPr>
        <w:t>good market approach</w:t>
      </w:r>
      <w:r w:rsidRPr="00E73C88">
        <w:rPr>
          <w:rFonts w:asciiTheme="majorBidi" w:hAnsiTheme="majorBidi" w:cstheme="majorBidi"/>
          <w:sz w:val="20"/>
          <w:szCs w:val="20"/>
          <w:lang w:val="id-ID"/>
        </w:rPr>
        <w:t xml:space="preserve"> nilai tukar yang akan mempengaruhi dari kinerja perusahaan dimana terjadi perubahan dari nilai tukar itu sendiri akan mempengaruhi dari pendapatan perusahaan dan biaya operasional perusahaan. Di sisi lain, teori dari </w:t>
      </w:r>
      <w:r w:rsidRPr="00E73C88">
        <w:rPr>
          <w:rFonts w:asciiTheme="majorBidi" w:hAnsiTheme="majorBidi" w:cstheme="majorBidi"/>
          <w:i/>
          <w:sz w:val="20"/>
          <w:szCs w:val="20"/>
          <w:lang w:val="id-ID"/>
        </w:rPr>
        <w:t>portofolio balance approach</w:t>
      </w:r>
      <w:r w:rsidRPr="00E73C88">
        <w:rPr>
          <w:rFonts w:asciiTheme="majorBidi" w:hAnsiTheme="majorBidi" w:cstheme="majorBidi"/>
          <w:sz w:val="20"/>
          <w:szCs w:val="20"/>
          <w:lang w:val="id-ID"/>
        </w:rPr>
        <w:t xml:space="preserve"> di dalam penelitian Maski (2004) harga saham yang dapat mempengaruhi nilai tukar dimana saham sebagai bagian dari kekayaan yang dapat mempengaruhi perilaku nilai tukar. Selain itu, teori </w:t>
      </w:r>
      <w:r w:rsidRPr="00E73C88">
        <w:rPr>
          <w:rFonts w:asciiTheme="majorBidi" w:hAnsiTheme="majorBidi" w:cstheme="majorBidi"/>
          <w:i/>
          <w:sz w:val="20"/>
          <w:szCs w:val="20"/>
          <w:lang w:val="id-ID"/>
        </w:rPr>
        <w:t>portofolio balance approach</w:t>
      </w:r>
      <w:r w:rsidRPr="00E73C88">
        <w:rPr>
          <w:rFonts w:asciiTheme="majorBidi" w:hAnsiTheme="majorBidi" w:cstheme="majorBidi"/>
          <w:sz w:val="20"/>
          <w:szCs w:val="20"/>
          <w:lang w:val="id-ID"/>
        </w:rPr>
        <w:t xml:space="preserve"> di dalam penelitian Maski (2004) nilai tukar terbentuk dalam proses penyamaan dan penyeimbangan total permintaan dan total penawaran aset – aset finansial.</w:t>
      </w:r>
    </w:p>
    <w:p w:rsidR="00E73C88" w:rsidRDefault="00E73C88" w:rsidP="00E73C88">
      <w:pPr>
        <w:pStyle w:val="Heading3"/>
        <w:tabs>
          <w:tab w:val="left" w:pos="0"/>
        </w:tabs>
        <w:spacing w:before="0" w:line="480" w:lineRule="auto"/>
        <w:ind w:left="720" w:hanging="810"/>
        <w:rPr>
          <w:rFonts w:asciiTheme="majorBidi" w:hAnsiTheme="majorBidi" w:cstheme="majorBidi"/>
          <w:sz w:val="20"/>
          <w:szCs w:val="20"/>
        </w:rPr>
      </w:pPr>
      <w:r w:rsidRPr="00E73C88">
        <w:rPr>
          <w:rFonts w:asciiTheme="majorBidi" w:hAnsiTheme="majorBidi" w:cstheme="majorBidi"/>
          <w:sz w:val="20"/>
          <w:szCs w:val="20"/>
        </w:rPr>
        <w:t xml:space="preserve">Pengaruh BI </w:t>
      </w:r>
      <w:r w:rsidRPr="00E73C88">
        <w:rPr>
          <w:rFonts w:asciiTheme="majorBidi" w:hAnsiTheme="majorBidi" w:cstheme="majorBidi"/>
          <w:i/>
          <w:sz w:val="20"/>
          <w:szCs w:val="20"/>
        </w:rPr>
        <w:t>Rate</w:t>
      </w:r>
      <w:r w:rsidRPr="00E73C88">
        <w:rPr>
          <w:rFonts w:asciiTheme="majorBidi" w:hAnsiTheme="majorBidi" w:cstheme="majorBidi"/>
          <w:sz w:val="20"/>
          <w:szCs w:val="20"/>
        </w:rPr>
        <w:t xml:space="preserve"> Terhadap </w:t>
      </w:r>
      <w:r w:rsidRPr="00E73C88">
        <w:rPr>
          <w:rFonts w:asciiTheme="majorBidi" w:hAnsiTheme="majorBidi" w:cstheme="majorBidi"/>
          <w:i/>
          <w:sz w:val="20"/>
          <w:szCs w:val="20"/>
        </w:rPr>
        <w:t>Return</w:t>
      </w:r>
      <w:r w:rsidRPr="00E73C88">
        <w:rPr>
          <w:rFonts w:asciiTheme="majorBidi" w:hAnsiTheme="majorBidi" w:cstheme="majorBidi"/>
          <w:sz w:val="20"/>
          <w:szCs w:val="20"/>
        </w:rPr>
        <w:t xml:space="preserve"> Saham PT.Semen Indonesia</w:t>
      </w:r>
    </w:p>
    <w:p w:rsidR="00E73C88" w:rsidRPr="00E73C88" w:rsidRDefault="00E73C88" w:rsidP="00E73C88">
      <w:pPr>
        <w:spacing w:line="240" w:lineRule="auto"/>
        <w:ind w:firstLine="720"/>
        <w:contextualSpacing/>
        <w:jc w:val="both"/>
        <w:rPr>
          <w:rFonts w:asciiTheme="majorBidi" w:hAnsiTheme="majorBidi" w:cstheme="majorBidi"/>
          <w:sz w:val="20"/>
          <w:szCs w:val="20"/>
        </w:rPr>
      </w:pPr>
      <w:r w:rsidRPr="00E73C88">
        <w:rPr>
          <w:rFonts w:asciiTheme="majorBidi" w:hAnsiTheme="majorBidi" w:cstheme="majorBidi"/>
          <w:sz w:val="20"/>
          <w:szCs w:val="20"/>
        </w:rPr>
        <w:t xml:space="preserve">Dengan tidak adanya pengaruh signifikan </w:t>
      </w:r>
      <w:r w:rsidRPr="00E73C88">
        <w:rPr>
          <w:rFonts w:asciiTheme="majorBidi" w:hAnsiTheme="majorBidi" w:cstheme="majorBidi"/>
          <w:sz w:val="20"/>
          <w:szCs w:val="20"/>
          <w:lang w:val="id-ID"/>
        </w:rPr>
        <w:t xml:space="preserve">dalam jangka panjang </w:t>
      </w:r>
      <w:r w:rsidRPr="00E73C88">
        <w:rPr>
          <w:rFonts w:asciiTheme="majorBidi" w:hAnsiTheme="majorBidi" w:cstheme="majorBidi"/>
          <w:sz w:val="20"/>
          <w:szCs w:val="20"/>
        </w:rPr>
        <w:t xml:space="preserve">antara BI </w:t>
      </w:r>
      <w:r w:rsidRPr="00E73C88">
        <w:rPr>
          <w:rFonts w:asciiTheme="majorBidi" w:hAnsiTheme="majorBidi" w:cstheme="majorBidi"/>
          <w:i/>
          <w:sz w:val="20"/>
          <w:szCs w:val="20"/>
        </w:rPr>
        <w:t>rate</w:t>
      </w:r>
      <w:r w:rsidRPr="00E73C88">
        <w:rPr>
          <w:rFonts w:asciiTheme="majorBidi" w:hAnsiTheme="majorBidi" w:cstheme="majorBidi"/>
          <w:sz w:val="20"/>
          <w:szCs w:val="20"/>
        </w:rPr>
        <w:t xml:space="preserve"> dengan harga saham pada PT.Semen Indonesia ini juga didukung oleh penelitian oleh penelitian Livia (2013) bahwa inflasi dan BI</w:t>
      </w:r>
      <w:r w:rsidRPr="00E73C88">
        <w:rPr>
          <w:rFonts w:asciiTheme="majorBidi" w:hAnsiTheme="majorBidi" w:cstheme="majorBidi"/>
          <w:i/>
          <w:sz w:val="20"/>
          <w:szCs w:val="20"/>
        </w:rPr>
        <w:t xml:space="preserve"> rate</w:t>
      </w:r>
      <w:r w:rsidRPr="00E73C88">
        <w:rPr>
          <w:rFonts w:asciiTheme="majorBidi" w:hAnsiTheme="majorBidi" w:cstheme="majorBidi"/>
          <w:sz w:val="20"/>
          <w:szCs w:val="20"/>
        </w:rPr>
        <w:t xml:space="preserve"> tidak berpengaruh terhadap return saham pada kapitalisasi besar di BEI dan Suramaya (2012) bahwa inflasi, tingkat suku bunga SBI dan pertumbuhan PDB tidak berpengaruh terhadap IHSG. Dengan perubahan yang terjadi pada BI</w:t>
      </w:r>
      <w:r w:rsidRPr="00E73C88">
        <w:rPr>
          <w:rFonts w:asciiTheme="majorBidi" w:hAnsiTheme="majorBidi" w:cstheme="majorBidi"/>
          <w:i/>
          <w:sz w:val="20"/>
          <w:szCs w:val="20"/>
        </w:rPr>
        <w:t xml:space="preserve"> rate</w:t>
      </w:r>
      <w:r w:rsidRPr="00E73C88">
        <w:rPr>
          <w:rFonts w:asciiTheme="majorBidi" w:hAnsiTheme="majorBidi" w:cstheme="majorBidi"/>
          <w:sz w:val="20"/>
          <w:szCs w:val="20"/>
        </w:rPr>
        <w:t xml:space="preserve"> pada periode 200</w:t>
      </w:r>
      <w:r w:rsidRPr="00E73C88">
        <w:rPr>
          <w:rFonts w:asciiTheme="majorBidi" w:hAnsiTheme="majorBidi" w:cstheme="majorBidi"/>
          <w:sz w:val="20"/>
          <w:szCs w:val="20"/>
          <w:lang w:val="id-ID"/>
        </w:rPr>
        <w:t>5</w:t>
      </w:r>
      <w:r w:rsidRPr="00E73C88">
        <w:rPr>
          <w:rFonts w:asciiTheme="majorBidi" w:hAnsiTheme="majorBidi" w:cstheme="majorBidi"/>
          <w:sz w:val="20"/>
          <w:szCs w:val="20"/>
        </w:rPr>
        <w:t xml:space="preserve"> – 2014 yang dapat dikatakan cukup stabil maka tidak mempengaruhi kegiatan ekspektasi investor untuk berspekulasi menabung. Tidak signifikannya BI</w:t>
      </w:r>
      <w:r w:rsidRPr="00E73C88">
        <w:rPr>
          <w:rFonts w:asciiTheme="majorBidi" w:hAnsiTheme="majorBidi" w:cstheme="majorBidi"/>
          <w:i/>
          <w:sz w:val="20"/>
          <w:szCs w:val="20"/>
        </w:rPr>
        <w:t xml:space="preserve"> rate</w:t>
      </w:r>
      <w:r w:rsidRPr="00E73C88">
        <w:rPr>
          <w:rFonts w:asciiTheme="majorBidi" w:hAnsiTheme="majorBidi" w:cstheme="majorBidi"/>
          <w:sz w:val="20"/>
          <w:szCs w:val="20"/>
          <w:lang w:val="id-ID"/>
        </w:rPr>
        <w:t xml:space="preserve">dalam jangka panjang </w:t>
      </w:r>
      <w:r w:rsidRPr="00E73C88">
        <w:rPr>
          <w:rFonts w:asciiTheme="majorBidi" w:hAnsiTheme="majorBidi" w:cstheme="majorBidi"/>
          <w:sz w:val="20"/>
          <w:szCs w:val="20"/>
        </w:rPr>
        <w:t xml:space="preserve">terhadap </w:t>
      </w:r>
      <w:r w:rsidRPr="00E73C88">
        <w:rPr>
          <w:rFonts w:asciiTheme="majorBidi" w:hAnsiTheme="majorBidi" w:cstheme="majorBidi"/>
          <w:i/>
          <w:sz w:val="20"/>
          <w:szCs w:val="20"/>
        </w:rPr>
        <w:t>return</w:t>
      </w:r>
      <w:r w:rsidRPr="00E73C88">
        <w:rPr>
          <w:rFonts w:asciiTheme="majorBidi" w:hAnsiTheme="majorBidi" w:cstheme="majorBidi"/>
          <w:sz w:val="20"/>
          <w:szCs w:val="20"/>
        </w:rPr>
        <w:t xml:space="preserve"> saham ini dikarenakan kurangnya daya tarik dari perubahan – perubahan dari BI </w:t>
      </w:r>
      <w:r w:rsidRPr="00E73C88">
        <w:rPr>
          <w:rFonts w:asciiTheme="majorBidi" w:hAnsiTheme="majorBidi" w:cstheme="majorBidi"/>
          <w:i/>
          <w:sz w:val="20"/>
          <w:szCs w:val="20"/>
        </w:rPr>
        <w:t>rate</w:t>
      </w:r>
      <w:r w:rsidRPr="00E73C88">
        <w:rPr>
          <w:rFonts w:asciiTheme="majorBidi" w:hAnsiTheme="majorBidi" w:cstheme="majorBidi"/>
          <w:sz w:val="20"/>
          <w:szCs w:val="20"/>
        </w:rPr>
        <w:t xml:space="preserve"> sebagai pengendali jumlah uang beredar. Perubahan BI </w:t>
      </w:r>
      <w:r w:rsidRPr="00E73C88">
        <w:rPr>
          <w:rFonts w:asciiTheme="majorBidi" w:hAnsiTheme="majorBidi" w:cstheme="majorBidi"/>
          <w:i/>
          <w:sz w:val="20"/>
          <w:szCs w:val="20"/>
        </w:rPr>
        <w:t>rate</w:t>
      </w:r>
      <w:r w:rsidRPr="00E73C88">
        <w:rPr>
          <w:rFonts w:asciiTheme="majorBidi" w:hAnsiTheme="majorBidi" w:cstheme="majorBidi"/>
          <w:sz w:val="20"/>
          <w:szCs w:val="20"/>
        </w:rPr>
        <w:t xml:space="preserve"> di Indonesia sesuai dengan grafik di atas tidak meberikan rangsangan kepada investor di PT.Semen Indonesia untuk memindahkan investasinya dalam bentuk tabungan ataupun deposito.</w:t>
      </w:r>
    </w:p>
    <w:p w:rsidR="00E73C88" w:rsidRDefault="00E73C88" w:rsidP="00E73C88">
      <w:pPr>
        <w:spacing w:line="240" w:lineRule="auto"/>
        <w:ind w:firstLine="720"/>
        <w:contextualSpacing/>
        <w:jc w:val="both"/>
        <w:rPr>
          <w:rFonts w:asciiTheme="majorBidi" w:hAnsiTheme="majorBidi" w:cstheme="majorBidi"/>
          <w:sz w:val="20"/>
          <w:szCs w:val="20"/>
          <w:lang w:val="id-ID"/>
        </w:rPr>
      </w:pPr>
      <w:r w:rsidRPr="00E73C88">
        <w:rPr>
          <w:rFonts w:asciiTheme="majorBidi" w:hAnsiTheme="majorBidi" w:cstheme="majorBidi"/>
          <w:sz w:val="20"/>
          <w:szCs w:val="20"/>
        </w:rPr>
        <w:t xml:space="preserve">Dalam jangka pendek BI </w:t>
      </w:r>
      <w:r w:rsidRPr="00E73C88">
        <w:rPr>
          <w:rFonts w:asciiTheme="majorBidi" w:hAnsiTheme="majorBidi" w:cstheme="majorBidi"/>
          <w:i/>
          <w:sz w:val="20"/>
          <w:szCs w:val="20"/>
        </w:rPr>
        <w:t>rate</w:t>
      </w:r>
      <w:r w:rsidRPr="00E73C88">
        <w:rPr>
          <w:rFonts w:asciiTheme="majorBidi" w:hAnsiTheme="majorBidi" w:cstheme="majorBidi"/>
          <w:sz w:val="20"/>
          <w:szCs w:val="20"/>
        </w:rPr>
        <w:t xml:space="preserve"> ditemukan model koefisien sebesar </w:t>
      </w:r>
      <w:r w:rsidRPr="00E73C88">
        <w:rPr>
          <w:rFonts w:asciiTheme="majorBidi" w:hAnsiTheme="majorBidi" w:cstheme="majorBidi"/>
          <w:sz w:val="20"/>
          <w:szCs w:val="20"/>
          <w:lang w:val="id-ID"/>
        </w:rPr>
        <w:t>20.15811</w:t>
      </w:r>
      <w:r w:rsidRPr="00E73C88">
        <w:rPr>
          <w:rFonts w:asciiTheme="majorBidi" w:hAnsiTheme="majorBidi" w:cstheme="majorBidi"/>
          <w:sz w:val="20"/>
          <w:szCs w:val="20"/>
        </w:rPr>
        <w:t xml:space="preserve"> dan bertanda </w:t>
      </w:r>
      <w:r w:rsidRPr="00E73C88">
        <w:rPr>
          <w:rFonts w:asciiTheme="majorBidi" w:hAnsiTheme="majorBidi" w:cstheme="majorBidi"/>
          <w:sz w:val="20"/>
          <w:szCs w:val="20"/>
          <w:lang w:val="id-ID"/>
        </w:rPr>
        <w:t>negatif</w:t>
      </w:r>
      <w:r w:rsidRPr="00E73C88">
        <w:rPr>
          <w:rFonts w:asciiTheme="majorBidi" w:hAnsiTheme="majorBidi" w:cstheme="majorBidi"/>
          <w:sz w:val="20"/>
          <w:szCs w:val="20"/>
        </w:rPr>
        <w:t xml:space="preserve"> itu meyatakan bahwa setiap peningkatan BI</w:t>
      </w:r>
      <w:r w:rsidRPr="00E73C88">
        <w:rPr>
          <w:rFonts w:asciiTheme="majorBidi" w:hAnsiTheme="majorBidi" w:cstheme="majorBidi"/>
          <w:i/>
          <w:sz w:val="20"/>
          <w:szCs w:val="20"/>
        </w:rPr>
        <w:t xml:space="preserve"> rate</w:t>
      </w:r>
      <w:r w:rsidRPr="00E73C88">
        <w:rPr>
          <w:rFonts w:asciiTheme="majorBidi" w:hAnsiTheme="majorBidi" w:cstheme="majorBidi"/>
          <w:sz w:val="20"/>
          <w:szCs w:val="20"/>
        </w:rPr>
        <w:t xml:space="preserve"> sebesar 1 persen, maka </w:t>
      </w:r>
      <w:r w:rsidRPr="00E73C88">
        <w:rPr>
          <w:rFonts w:asciiTheme="majorBidi" w:hAnsiTheme="majorBidi" w:cstheme="majorBidi"/>
          <w:i/>
          <w:sz w:val="20"/>
          <w:szCs w:val="20"/>
        </w:rPr>
        <w:t>return</w:t>
      </w:r>
      <w:r w:rsidRPr="00E73C88">
        <w:rPr>
          <w:rFonts w:asciiTheme="majorBidi" w:hAnsiTheme="majorBidi" w:cstheme="majorBidi"/>
          <w:sz w:val="20"/>
          <w:szCs w:val="20"/>
        </w:rPr>
        <w:t xml:space="preserve"> saham akan mengalami pen</w:t>
      </w:r>
      <w:r w:rsidRPr="00E73C88">
        <w:rPr>
          <w:rFonts w:asciiTheme="majorBidi" w:hAnsiTheme="majorBidi" w:cstheme="majorBidi"/>
          <w:sz w:val="20"/>
          <w:szCs w:val="20"/>
          <w:lang w:val="id-ID"/>
        </w:rPr>
        <w:t>urunan20.15811</w:t>
      </w:r>
      <w:r w:rsidRPr="00E73C88">
        <w:rPr>
          <w:rFonts w:asciiTheme="majorBidi" w:hAnsiTheme="majorBidi" w:cstheme="majorBidi"/>
          <w:sz w:val="20"/>
          <w:szCs w:val="20"/>
        </w:rPr>
        <w:t xml:space="preserve">%. Hal ini dikarenakan </w:t>
      </w:r>
      <w:r w:rsidRPr="00E73C88">
        <w:rPr>
          <w:rFonts w:asciiTheme="majorBidi" w:hAnsiTheme="majorBidi" w:cstheme="majorBidi"/>
          <w:sz w:val="20"/>
          <w:szCs w:val="20"/>
          <w:lang w:val="id-ID"/>
        </w:rPr>
        <w:t xml:space="preserve">sesuai dengan teori Keynes dimana </w:t>
      </w:r>
      <w:r w:rsidRPr="00E73C88">
        <w:rPr>
          <w:rFonts w:asciiTheme="majorBidi" w:hAnsiTheme="majorBidi" w:cstheme="majorBidi"/>
          <w:sz w:val="20"/>
          <w:szCs w:val="20"/>
        </w:rPr>
        <w:t xml:space="preserve">seseorang menginginkan dirinya tetap likuid sehingga melakukan spekulasi antara di pasar uang dan pasar sekunder.Dalam jangka panjang BI </w:t>
      </w:r>
      <w:r w:rsidRPr="00E73C88">
        <w:rPr>
          <w:rFonts w:asciiTheme="majorBidi" w:hAnsiTheme="majorBidi" w:cstheme="majorBidi"/>
          <w:i/>
          <w:sz w:val="20"/>
          <w:szCs w:val="20"/>
        </w:rPr>
        <w:t>rate</w:t>
      </w:r>
      <w:r w:rsidRPr="00E73C88">
        <w:rPr>
          <w:rFonts w:asciiTheme="majorBidi" w:hAnsiTheme="majorBidi" w:cstheme="majorBidi"/>
          <w:sz w:val="20"/>
          <w:szCs w:val="20"/>
        </w:rPr>
        <w:t xml:space="preserve"> ditemukan </w:t>
      </w:r>
      <w:r w:rsidRPr="00E73C88">
        <w:rPr>
          <w:rFonts w:asciiTheme="majorBidi" w:hAnsiTheme="majorBidi" w:cstheme="majorBidi"/>
          <w:sz w:val="20"/>
          <w:szCs w:val="20"/>
          <w:lang w:val="id-ID"/>
        </w:rPr>
        <w:t>tidak berpengaruh signifikan karena kurangnya daya tarik dari BI rate sebagai pengendali uang primer karena cenderung tingkat inflasi yang tidak menentu pada periode penelitian.</w:t>
      </w:r>
    </w:p>
    <w:p w:rsidR="00E73C88" w:rsidRPr="00E73C88" w:rsidRDefault="00E73C88" w:rsidP="00E73C88">
      <w:pPr>
        <w:spacing w:line="240" w:lineRule="auto"/>
        <w:ind w:firstLine="720"/>
        <w:contextualSpacing/>
        <w:jc w:val="both"/>
        <w:rPr>
          <w:rFonts w:asciiTheme="majorBidi" w:hAnsiTheme="majorBidi" w:cstheme="majorBidi"/>
          <w:sz w:val="20"/>
          <w:szCs w:val="20"/>
          <w:lang w:val="id-ID"/>
        </w:rPr>
      </w:pPr>
    </w:p>
    <w:p w:rsidR="00E73C88" w:rsidRPr="00E73C88" w:rsidRDefault="00E73C88" w:rsidP="00E73C88">
      <w:pPr>
        <w:spacing w:line="480" w:lineRule="auto"/>
        <w:contextualSpacing/>
        <w:rPr>
          <w:rFonts w:asciiTheme="majorBidi" w:hAnsiTheme="majorBidi" w:cstheme="majorBidi"/>
          <w:b/>
          <w:bCs/>
          <w:sz w:val="20"/>
          <w:szCs w:val="20"/>
        </w:rPr>
      </w:pPr>
      <w:r w:rsidRPr="00E73C88">
        <w:rPr>
          <w:rFonts w:asciiTheme="majorBidi" w:hAnsiTheme="majorBidi" w:cstheme="majorBidi"/>
          <w:b/>
          <w:bCs/>
          <w:sz w:val="20"/>
          <w:szCs w:val="20"/>
        </w:rPr>
        <w:t xml:space="preserve">Pengaruh Pertumbuhan Ekonomi Terhadap </w:t>
      </w:r>
      <w:r w:rsidRPr="00E73C88">
        <w:rPr>
          <w:rFonts w:asciiTheme="majorBidi" w:hAnsiTheme="majorBidi" w:cstheme="majorBidi"/>
          <w:b/>
          <w:bCs/>
          <w:i/>
          <w:sz w:val="20"/>
          <w:szCs w:val="20"/>
        </w:rPr>
        <w:t>Return</w:t>
      </w:r>
      <w:r w:rsidRPr="00E73C88">
        <w:rPr>
          <w:rFonts w:asciiTheme="majorBidi" w:hAnsiTheme="majorBidi" w:cstheme="majorBidi"/>
          <w:b/>
          <w:bCs/>
          <w:sz w:val="20"/>
          <w:szCs w:val="20"/>
        </w:rPr>
        <w:t xml:space="preserve"> Saham PT.Semen Indonesia</w:t>
      </w:r>
    </w:p>
    <w:p w:rsidR="00E73C88" w:rsidRPr="00E73C88" w:rsidRDefault="00E73C88" w:rsidP="00E73C88">
      <w:pPr>
        <w:spacing w:line="240" w:lineRule="auto"/>
        <w:ind w:firstLine="720"/>
        <w:contextualSpacing/>
        <w:jc w:val="both"/>
        <w:rPr>
          <w:rFonts w:asciiTheme="majorBidi" w:hAnsiTheme="majorBidi" w:cstheme="majorBidi"/>
          <w:sz w:val="20"/>
          <w:szCs w:val="20"/>
          <w:lang w:val="id-ID"/>
        </w:rPr>
      </w:pPr>
      <w:r w:rsidRPr="00E73C88">
        <w:rPr>
          <w:rFonts w:asciiTheme="majorBidi" w:hAnsiTheme="majorBidi" w:cstheme="majorBidi"/>
          <w:sz w:val="20"/>
          <w:szCs w:val="20"/>
        </w:rPr>
        <w:t>Hasil estimasi yang dilakukan oleh peneliti maka dapat disimpulkan dengan adanya perubahan pertumbuhan ekonomi pada periode 200</w:t>
      </w:r>
      <w:r w:rsidRPr="00E73C88">
        <w:rPr>
          <w:rFonts w:asciiTheme="majorBidi" w:hAnsiTheme="majorBidi" w:cstheme="majorBidi"/>
          <w:sz w:val="20"/>
          <w:szCs w:val="20"/>
          <w:lang w:val="id-ID"/>
        </w:rPr>
        <w:t>5</w:t>
      </w:r>
      <w:r w:rsidRPr="00E73C88">
        <w:rPr>
          <w:rFonts w:asciiTheme="majorBidi" w:hAnsiTheme="majorBidi" w:cstheme="majorBidi"/>
          <w:sz w:val="20"/>
          <w:szCs w:val="20"/>
        </w:rPr>
        <w:t xml:space="preserve"> – 2014 berpengaruh secara signifikan terhadap pergerakan </w:t>
      </w:r>
      <w:r w:rsidRPr="00E73C88">
        <w:rPr>
          <w:rFonts w:asciiTheme="majorBidi" w:hAnsiTheme="majorBidi" w:cstheme="majorBidi"/>
          <w:i/>
          <w:sz w:val="20"/>
          <w:szCs w:val="20"/>
        </w:rPr>
        <w:t>return</w:t>
      </w:r>
      <w:r w:rsidRPr="00E73C88">
        <w:rPr>
          <w:rFonts w:asciiTheme="majorBidi" w:hAnsiTheme="majorBidi" w:cstheme="majorBidi"/>
          <w:sz w:val="20"/>
          <w:szCs w:val="20"/>
        </w:rPr>
        <w:t xml:space="preserve"> saham PT.Semen Indonesia dalam jangka pendek. Hal ini dikarenakan adanya korelasi antara pertumbuhan ekonomi dengan </w:t>
      </w:r>
      <w:r w:rsidRPr="00E73C88">
        <w:rPr>
          <w:rFonts w:asciiTheme="majorBidi" w:hAnsiTheme="majorBidi" w:cstheme="majorBidi"/>
          <w:i/>
          <w:sz w:val="20"/>
          <w:szCs w:val="20"/>
        </w:rPr>
        <w:t>return</w:t>
      </w:r>
      <w:r w:rsidRPr="00E73C88">
        <w:rPr>
          <w:rFonts w:asciiTheme="majorBidi" w:hAnsiTheme="majorBidi" w:cstheme="majorBidi"/>
          <w:sz w:val="20"/>
          <w:szCs w:val="20"/>
        </w:rPr>
        <w:t xml:space="preserve"> saham. Dalam jangka pendek koefisien pertumbuhan ekonomi sebesar -</w:t>
      </w:r>
      <w:r w:rsidRPr="00E73C88">
        <w:rPr>
          <w:rFonts w:asciiTheme="majorBidi" w:hAnsiTheme="majorBidi" w:cstheme="majorBidi"/>
          <w:sz w:val="20"/>
          <w:szCs w:val="20"/>
          <w:lang w:val="id-ID"/>
        </w:rPr>
        <w:t>3.637765</w:t>
      </w:r>
      <w:r w:rsidRPr="00E73C88">
        <w:rPr>
          <w:rFonts w:asciiTheme="majorBidi" w:hAnsiTheme="majorBidi" w:cstheme="majorBidi"/>
          <w:sz w:val="20"/>
          <w:szCs w:val="20"/>
        </w:rPr>
        <w:t xml:space="preserve"> dan bertanda negatif apabila terjadi perubahan peningkatan pertumbuhan ekonomi sebesar 1 persen maka </w:t>
      </w:r>
      <w:r w:rsidRPr="00E73C88">
        <w:rPr>
          <w:rFonts w:asciiTheme="majorBidi" w:hAnsiTheme="majorBidi" w:cstheme="majorBidi"/>
          <w:i/>
          <w:sz w:val="20"/>
          <w:szCs w:val="20"/>
        </w:rPr>
        <w:t>return</w:t>
      </w:r>
      <w:r w:rsidRPr="00E73C88">
        <w:rPr>
          <w:rFonts w:asciiTheme="majorBidi" w:hAnsiTheme="majorBidi" w:cstheme="majorBidi"/>
          <w:sz w:val="20"/>
          <w:szCs w:val="20"/>
        </w:rPr>
        <w:t xml:space="preserve"> saham </w:t>
      </w:r>
      <w:proofErr w:type="gramStart"/>
      <w:r w:rsidRPr="00E73C88">
        <w:rPr>
          <w:rFonts w:asciiTheme="majorBidi" w:hAnsiTheme="majorBidi" w:cstheme="majorBidi"/>
          <w:sz w:val="20"/>
          <w:szCs w:val="20"/>
        </w:rPr>
        <w:t>akan</w:t>
      </w:r>
      <w:proofErr w:type="gramEnd"/>
      <w:r w:rsidRPr="00E73C88">
        <w:rPr>
          <w:rFonts w:asciiTheme="majorBidi" w:hAnsiTheme="majorBidi" w:cstheme="majorBidi"/>
          <w:sz w:val="20"/>
          <w:szCs w:val="20"/>
        </w:rPr>
        <w:t xml:space="preserve"> mengalami penurunan sebesar </w:t>
      </w:r>
      <w:r w:rsidRPr="00E73C88">
        <w:rPr>
          <w:rFonts w:asciiTheme="majorBidi" w:hAnsiTheme="majorBidi" w:cstheme="majorBidi"/>
          <w:sz w:val="20"/>
          <w:szCs w:val="20"/>
          <w:lang w:val="id-ID"/>
        </w:rPr>
        <w:t>3.637765</w:t>
      </w:r>
      <w:r w:rsidRPr="00E73C88">
        <w:rPr>
          <w:rFonts w:asciiTheme="majorBidi" w:hAnsiTheme="majorBidi" w:cstheme="majorBidi"/>
          <w:sz w:val="20"/>
          <w:szCs w:val="20"/>
        </w:rPr>
        <w:t>%.</w:t>
      </w:r>
    </w:p>
    <w:p w:rsidR="00E73C88" w:rsidRDefault="00E73C88" w:rsidP="00E73C88">
      <w:pPr>
        <w:spacing w:line="240" w:lineRule="auto"/>
        <w:contextualSpacing/>
        <w:jc w:val="both"/>
        <w:rPr>
          <w:rFonts w:asciiTheme="majorBidi" w:hAnsiTheme="majorBidi" w:cstheme="majorBidi"/>
          <w:sz w:val="20"/>
          <w:szCs w:val="20"/>
        </w:rPr>
      </w:pPr>
      <w:r w:rsidRPr="00E73C88">
        <w:rPr>
          <w:rFonts w:asciiTheme="majorBidi" w:hAnsiTheme="majorBidi" w:cstheme="majorBidi"/>
          <w:sz w:val="20"/>
          <w:szCs w:val="20"/>
        </w:rPr>
        <w:tab/>
        <w:t xml:space="preserve">Dalam hal ini hubungan pertumbuhan ekonomi dalam jangka pendek berlawanan arah tetapi berpengaruh signifikan terhadap </w:t>
      </w:r>
      <w:r w:rsidRPr="00E73C88">
        <w:rPr>
          <w:rFonts w:asciiTheme="majorBidi" w:hAnsiTheme="majorBidi" w:cstheme="majorBidi"/>
          <w:i/>
          <w:sz w:val="20"/>
          <w:szCs w:val="20"/>
        </w:rPr>
        <w:t xml:space="preserve">return </w:t>
      </w:r>
      <w:r w:rsidRPr="00E73C88">
        <w:rPr>
          <w:rFonts w:asciiTheme="majorBidi" w:hAnsiTheme="majorBidi" w:cstheme="majorBidi"/>
          <w:sz w:val="20"/>
          <w:szCs w:val="20"/>
        </w:rPr>
        <w:t xml:space="preserve">saham. Hal ini dikarenakan masyarakat atau warga negara Indonesia senang melakukan kegiatan konsumsi daripada berinvestasi dalam bentuk saham. </w:t>
      </w:r>
      <w:r w:rsidRPr="00E73C88">
        <w:rPr>
          <w:rFonts w:asciiTheme="majorBidi" w:hAnsiTheme="majorBidi" w:cstheme="majorBidi"/>
          <w:sz w:val="20"/>
          <w:szCs w:val="20"/>
        </w:rPr>
        <w:lastRenderedPageBreak/>
        <w:t>Masyarakat Indonesia sendiri gemar dalam melakukan pembelian barang – barang seperti hp, mobil, motor, dan lain – lain.</w:t>
      </w:r>
    </w:p>
    <w:p w:rsidR="00CF273D" w:rsidRDefault="00E73C88" w:rsidP="00E73C88">
      <w:pPr>
        <w:spacing w:line="240" w:lineRule="auto"/>
        <w:ind w:firstLine="720"/>
        <w:jc w:val="both"/>
        <w:rPr>
          <w:rFonts w:asciiTheme="majorBidi" w:hAnsiTheme="majorBidi" w:cstheme="majorBidi"/>
          <w:sz w:val="20"/>
          <w:szCs w:val="20"/>
          <w:lang w:val="id-ID"/>
        </w:rPr>
      </w:pPr>
      <w:r w:rsidRPr="00E73C88">
        <w:rPr>
          <w:rFonts w:asciiTheme="majorBidi" w:hAnsiTheme="majorBidi" w:cstheme="majorBidi"/>
          <w:sz w:val="20"/>
          <w:szCs w:val="20"/>
          <w:lang w:val="id-ID"/>
        </w:rPr>
        <w:t>Dalam jangka panjang pertumbuhan ekonomi tidak berpengaruh signifikan terhadap return saham PT.Semen Indonesia hal ini dikarenakan investor cenderung melihat sisi internal perusahaan bagaimana perusahaan menghasilkan profitabilitas dimana pada periode penelitian 2005-2014 pertumbuhan ekonomi di Indonesia tidak stabil. Ini menjadikan bahan pertimbangan bagi investor untuk menanamkan modalnya apabila kondisi ekonomi di Indonesia tidak stabil dan cenderung mengalami penurunan. Pertumbuhan ekonomi yang tidak stabil menajdikan investor melihat sisi internal perusahaan bagaimana perusahaan menjalankan produksi penjualan mereka.</w:t>
      </w:r>
    </w:p>
    <w:p w:rsidR="00CF273D" w:rsidRDefault="00CF273D" w:rsidP="00E73C88">
      <w:pPr>
        <w:spacing w:line="240" w:lineRule="auto"/>
        <w:ind w:firstLine="720"/>
        <w:jc w:val="both"/>
        <w:rPr>
          <w:rFonts w:asciiTheme="majorBidi" w:hAnsiTheme="majorBidi" w:cstheme="majorBidi"/>
          <w:sz w:val="20"/>
          <w:szCs w:val="20"/>
          <w:lang w:val="id-ID"/>
        </w:rPr>
      </w:pPr>
    </w:p>
    <w:p w:rsidR="00E73C88" w:rsidRPr="00E73C88" w:rsidRDefault="00E73C88" w:rsidP="00E73C88">
      <w:pPr>
        <w:spacing w:line="240" w:lineRule="auto"/>
        <w:ind w:firstLine="720"/>
        <w:jc w:val="both"/>
        <w:rPr>
          <w:rFonts w:asciiTheme="majorBidi" w:hAnsiTheme="majorBidi" w:cstheme="majorBidi"/>
          <w:sz w:val="20"/>
          <w:szCs w:val="20"/>
          <w:lang w:val="id-ID"/>
        </w:rPr>
      </w:pPr>
    </w:p>
    <w:p w:rsidR="00E73C88" w:rsidRPr="00CF273D" w:rsidRDefault="00CF273D" w:rsidP="00CF273D">
      <w:pPr>
        <w:pStyle w:val="ListParagraph"/>
        <w:numPr>
          <w:ilvl w:val="0"/>
          <w:numId w:val="1"/>
        </w:numPr>
        <w:spacing w:line="240" w:lineRule="auto"/>
        <w:jc w:val="center"/>
        <w:rPr>
          <w:rFonts w:asciiTheme="majorBidi" w:hAnsiTheme="majorBidi" w:cstheme="majorBidi"/>
          <w:b/>
          <w:bCs/>
          <w:sz w:val="20"/>
          <w:szCs w:val="20"/>
        </w:rPr>
      </w:pPr>
      <w:r w:rsidRPr="00CF273D">
        <w:rPr>
          <w:rFonts w:asciiTheme="majorBidi" w:hAnsiTheme="majorBidi" w:cstheme="majorBidi"/>
          <w:b/>
          <w:bCs/>
          <w:sz w:val="20"/>
          <w:szCs w:val="20"/>
        </w:rPr>
        <w:t>KESIMPULAN DAN SARAN</w:t>
      </w:r>
    </w:p>
    <w:p w:rsidR="00CF273D" w:rsidRPr="00CF273D" w:rsidRDefault="00CF273D" w:rsidP="00CF273D">
      <w:pPr>
        <w:pStyle w:val="Heading2"/>
        <w:numPr>
          <w:ilvl w:val="0"/>
          <w:numId w:val="9"/>
        </w:numPr>
        <w:spacing w:line="480" w:lineRule="auto"/>
        <w:rPr>
          <w:rFonts w:asciiTheme="majorBidi" w:hAnsiTheme="majorBidi"/>
          <w:b/>
          <w:bCs/>
          <w:i/>
          <w:color w:val="auto"/>
          <w:sz w:val="20"/>
          <w:szCs w:val="20"/>
          <w:lang w:eastAsia="id-ID"/>
        </w:rPr>
      </w:pPr>
      <w:r w:rsidRPr="00CF273D">
        <w:rPr>
          <w:rFonts w:asciiTheme="majorBidi" w:hAnsiTheme="majorBidi"/>
          <w:b/>
          <w:bCs/>
          <w:color w:val="auto"/>
          <w:sz w:val="20"/>
          <w:szCs w:val="20"/>
          <w:lang w:eastAsia="id-ID"/>
        </w:rPr>
        <w:t>Kesimpulan</w:t>
      </w:r>
    </w:p>
    <w:p w:rsidR="00CF273D" w:rsidRPr="00CF273D" w:rsidRDefault="00CF273D" w:rsidP="00CF273D">
      <w:pPr>
        <w:spacing w:line="240" w:lineRule="auto"/>
        <w:jc w:val="both"/>
        <w:rPr>
          <w:rFonts w:asciiTheme="majorBidi" w:hAnsiTheme="majorBidi" w:cstheme="majorBidi"/>
          <w:sz w:val="20"/>
          <w:szCs w:val="20"/>
          <w:lang w:eastAsia="id-ID"/>
        </w:rPr>
      </w:pPr>
      <w:r w:rsidRPr="00505DD9">
        <w:rPr>
          <w:rFonts w:ascii="Arial" w:hAnsi="Arial" w:cs="Arial"/>
          <w:lang w:eastAsia="id-ID"/>
        </w:rPr>
        <w:tab/>
      </w:r>
      <w:r w:rsidRPr="00CF273D">
        <w:rPr>
          <w:rFonts w:asciiTheme="majorBidi" w:hAnsiTheme="majorBidi" w:cstheme="majorBidi"/>
          <w:sz w:val="20"/>
          <w:szCs w:val="20"/>
          <w:lang w:eastAsia="id-ID"/>
        </w:rPr>
        <w:t xml:space="preserve">Kesimpulan yang didapat dari hasil penelitian yang telah dilakukan adalah sebagai </w:t>
      </w:r>
      <w:proofErr w:type="gramStart"/>
      <w:r w:rsidRPr="00CF273D">
        <w:rPr>
          <w:rFonts w:asciiTheme="majorBidi" w:hAnsiTheme="majorBidi" w:cstheme="majorBidi"/>
          <w:sz w:val="20"/>
          <w:szCs w:val="20"/>
          <w:lang w:eastAsia="id-ID"/>
        </w:rPr>
        <w:t>berikut :</w:t>
      </w:r>
      <w:proofErr w:type="gramEnd"/>
    </w:p>
    <w:p w:rsidR="00CF273D" w:rsidRPr="00CF273D" w:rsidRDefault="00CF273D" w:rsidP="00CF273D">
      <w:pPr>
        <w:pStyle w:val="ListParagraph"/>
        <w:spacing w:after="0" w:line="240" w:lineRule="auto"/>
        <w:ind w:firstLine="720"/>
        <w:jc w:val="both"/>
        <w:rPr>
          <w:rFonts w:asciiTheme="majorBidi" w:hAnsiTheme="majorBidi" w:cstheme="majorBidi"/>
          <w:sz w:val="20"/>
          <w:szCs w:val="20"/>
          <w:lang w:eastAsia="id-ID"/>
        </w:rPr>
      </w:pPr>
      <w:r w:rsidRPr="00CF273D">
        <w:rPr>
          <w:rFonts w:asciiTheme="majorBidi" w:hAnsiTheme="majorBidi" w:cstheme="majorBidi"/>
          <w:sz w:val="20"/>
          <w:szCs w:val="20"/>
          <w:lang w:eastAsia="id-ID"/>
        </w:rPr>
        <w:t xml:space="preserve">Dengan berubahnya PT.Semen Gresik menjadi PT.Semen Indonesia yang menjadikan BUMN pertama kali berstatus </w:t>
      </w:r>
      <w:r w:rsidRPr="00CF273D">
        <w:rPr>
          <w:rFonts w:asciiTheme="majorBidi" w:hAnsiTheme="majorBidi" w:cstheme="majorBidi"/>
          <w:i/>
          <w:sz w:val="20"/>
          <w:szCs w:val="20"/>
          <w:lang w:eastAsia="id-ID"/>
        </w:rPr>
        <w:t>multinational corporation</w:t>
      </w:r>
      <w:r w:rsidRPr="00CF273D">
        <w:rPr>
          <w:rFonts w:asciiTheme="majorBidi" w:hAnsiTheme="majorBidi" w:cstheme="majorBidi"/>
          <w:sz w:val="20"/>
          <w:szCs w:val="20"/>
          <w:lang w:eastAsia="id-ID"/>
        </w:rPr>
        <w:t xml:space="preserve"> maka adanya perubahan dari inflasi</w:t>
      </w:r>
      <w:r w:rsidRPr="00CF273D">
        <w:rPr>
          <w:rFonts w:asciiTheme="majorBidi" w:hAnsiTheme="majorBidi" w:cstheme="majorBidi"/>
          <w:sz w:val="20"/>
          <w:szCs w:val="20"/>
          <w:lang w:val="id-ID" w:eastAsia="id-ID"/>
        </w:rPr>
        <w:t xml:space="preserve"> dan nilai tukar </w:t>
      </w:r>
      <w:r w:rsidRPr="00CF273D">
        <w:rPr>
          <w:rFonts w:asciiTheme="majorBidi" w:hAnsiTheme="majorBidi" w:cstheme="majorBidi"/>
          <w:sz w:val="20"/>
          <w:szCs w:val="20"/>
          <w:lang w:eastAsia="id-ID"/>
        </w:rPr>
        <w:t xml:space="preserve">tidak berpengaruh terhadap ekspektasi investor yang mengharapkan </w:t>
      </w:r>
      <w:r w:rsidRPr="00CF273D">
        <w:rPr>
          <w:rFonts w:asciiTheme="majorBidi" w:hAnsiTheme="majorBidi" w:cstheme="majorBidi"/>
          <w:i/>
          <w:sz w:val="20"/>
          <w:szCs w:val="20"/>
          <w:lang w:eastAsia="id-ID"/>
        </w:rPr>
        <w:t>return</w:t>
      </w:r>
      <w:r w:rsidRPr="00CF273D">
        <w:rPr>
          <w:rFonts w:asciiTheme="majorBidi" w:hAnsiTheme="majorBidi" w:cstheme="majorBidi"/>
          <w:sz w:val="20"/>
          <w:szCs w:val="20"/>
          <w:lang w:eastAsia="id-ID"/>
        </w:rPr>
        <w:t xml:space="preserve"> dalam jangka pendek dan jangka panjang.</w:t>
      </w:r>
    </w:p>
    <w:p w:rsidR="00CF273D" w:rsidRPr="00CF273D" w:rsidRDefault="00CF273D" w:rsidP="00CF273D">
      <w:pPr>
        <w:pStyle w:val="ListParagraph"/>
        <w:spacing w:after="0" w:line="240" w:lineRule="auto"/>
        <w:ind w:firstLine="720"/>
        <w:jc w:val="both"/>
        <w:rPr>
          <w:rFonts w:asciiTheme="majorBidi" w:hAnsiTheme="majorBidi" w:cstheme="majorBidi"/>
          <w:sz w:val="20"/>
          <w:szCs w:val="20"/>
          <w:lang w:eastAsia="id-ID"/>
        </w:rPr>
      </w:pPr>
      <w:r w:rsidRPr="00CF273D">
        <w:rPr>
          <w:rFonts w:asciiTheme="majorBidi" w:hAnsiTheme="majorBidi" w:cstheme="majorBidi"/>
          <w:sz w:val="20"/>
          <w:szCs w:val="20"/>
          <w:lang w:eastAsia="id-ID"/>
        </w:rPr>
        <w:t xml:space="preserve">Pada penelitian ini ditemukan pertumbuhan ekonomi di Indonesia </w:t>
      </w:r>
      <w:r w:rsidRPr="00CF273D">
        <w:rPr>
          <w:rFonts w:asciiTheme="majorBidi" w:hAnsiTheme="majorBidi" w:cstheme="majorBidi"/>
          <w:sz w:val="20"/>
          <w:szCs w:val="20"/>
          <w:lang w:val="id-ID" w:eastAsia="id-ID"/>
        </w:rPr>
        <w:t xml:space="preserve">dalam jangka pendek </w:t>
      </w:r>
      <w:r w:rsidRPr="00CF273D">
        <w:rPr>
          <w:rFonts w:asciiTheme="majorBidi" w:hAnsiTheme="majorBidi" w:cstheme="majorBidi"/>
          <w:sz w:val="20"/>
          <w:szCs w:val="20"/>
          <w:lang w:eastAsia="id-ID"/>
        </w:rPr>
        <w:t>berpengaruh negatif terhadap</w:t>
      </w:r>
      <w:r w:rsidRPr="00CF273D">
        <w:rPr>
          <w:rFonts w:asciiTheme="majorBidi" w:hAnsiTheme="majorBidi" w:cstheme="majorBidi"/>
          <w:i/>
          <w:sz w:val="20"/>
          <w:szCs w:val="20"/>
          <w:lang w:eastAsia="id-ID"/>
        </w:rPr>
        <w:t xml:space="preserve"> return</w:t>
      </w:r>
      <w:r w:rsidRPr="00CF273D">
        <w:rPr>
          <w:rFonts w:asciiTheme="majorBidi" w:hAnsiTheme="majorBidi" w:cstheme="majorBidi"/>
          <w:sz w:val="20"/>
          <w:szCs w:val="20"/>
          <w:lang w:eastAsia="id-ID"/>
        </w:rPr>
        <w:t xml:space="preserve"> saham di PT.Semen Indonesia dimana hal ini tidak sesuai dengan teori yang menjadi landasan penelitian.</w:t>
      </w:r>
    </w:p>
    <w:p w:rsidR="00CF273D" w:rsidRDefault="00CF273D" w:rsidP="00CF273D">
      <w:pPr>
        <w:pStyle w:val="ListParagraph"/>
        <w:spacing w:after="0" w:line="240" w:lineRule="auto"/>
        <w:ind w:firstLine="720"/>
        <w:jc w:val="both"/>
        <w:rPr>
          <w:rFonts w:asciiTheme="majorBidi" w:hAnsiTheme="majorBidi" w:cstheme="majorBidi"/>
          <w:sz w:val="20"/>
          <w:szCs w:val="20"/>
          <w:lang w:eastAsia="id-ID"/>
        </w:rPr>
      </w:pPr>
      <w:r w:rsidRPr="00CF273D">
        <w:rPr>
          <w:rFonts w:asciiTheme="majorBidi" w:hAnsiTheme="majorBidi" w:cstheme="majorBidi"/>
          <w:sz w:val="20"/>
          <w:szCs w:val="20"/>
          <w:lang w:eastAsia="id-ID"/>
        </w:rPr>
        <w:t xml:space="preserve">Adanya kegiatan pertumbuhan ekonomi di Indonesia ditopang dengan kegiatan konsumsi yang terus meningkat setiap periode </w:t>
      </w:r>
      <w:proofErr w:type="gramStart"/>
      <w:r w:rsidRPr="00CF273D">
        <w:rPr>
          <w:rFonts w:asciiTheme="majorBidi" w:hAnsiTheme="majorBidi" w:cstheme="majorBidi"/>
          <w:sz w:val="20"/>
          <w:szCs w:val="20"/>
          <w:lang w:eastAsia="id-ID"/>
        </w:rPr>
        <w:t>penelitian  memberikan</w:t>
      </w:r>
      <w:proofErr w:type="gramEnd"/>
      <w:r w:rsidRPr="00CF273D">
        <w:rPr>
          <w:rFonts w:asciiTheme="majorBidi" w:hAnsiTheme="majorBidi" w:cstheme="majorBidi"/>
          <w:sz w:val="20"/>
          <w:szCs w:val="20"/>
          <w:lang w:eastAsia="id-ID"/>
        </w:rPr>
        <w:t xml:space="preserve"> pengaruh negatif terhadap pasokan semen di PT.Semen Indonesia tetapi memberi positif terhadap ekspor PT.Semen Indonesia.</w:t>
      </w:r>
    </w:p>
    <w:p w:rsidR="00CF273D" w:rsidRDefault="00CF273D" w:rsidP="00CF273D">
      <w:pPr>
        <w:pStyle w:val="ListParagraph"/>
        <w:numPr>
          <w:ilvl w:val="0"/>
          <w:numId w:val="9"/>
        </w:numPr>
        <w:spacing w:after="0" w:line="240" w:lineRule="auto"/>
        <w:jc w:val="both"/>
        <w:rPr>
          <w:rFonts w:asciiTheme="majorBidi" w:hAnsiTheme="majorBidi" w:cstheme="majorBidi"/>
          <w:b/>
          <w:bCs/>
          <w:sz w:val="20"/>
          <w:szCs w:val="20"/>
          <w:lang w:eastAsia="id-ID"/>
        </w:rPr>
      </w:pPr>
      <w:r w:rsidRPr="00CF273D">
        <w:rPr>
          <w:rFonts w:asciiTheme="majorBidi" w:hAnsiTheme="majorBidi" w:cstheme="majorBidi"/>
          <w:b/>
          <w:bCs/>
          <w:sz w:val="20"/>
          <w:szCs w:val="20"/>
          <w:lang w:eastAsia="id-ID"/>
        </w:rPr>
        <w:t>Saran</w:t>
      </w:r>
    </w:p>
    <w:p w:rsidR="00CF273D" w:rsidRPr="00CF273D" w:rsidRDefault="00CF273D" w:rsidP="00CF273D">
      <w:pPr>
        <w:spacing w:line="240" w:lineRule="auto"/>
        <w:ind w:firstLine="720"/>
        <w:jc w:val="both"/>
        <w:rPr>
          <w:rFonts w:asciiTheme="majorBidi" w:hAnsiTheme="majorBidi" w:cstheme="majorBidi"/>
          <w:sz w:val="20"/>
          <w:szCs w:val="20"/>
          <w:lang w:eastAsia="id-ID"/>
        </w:rPr>
      </w:pPr>
      <w:r w:rsidRPr="00CF273D">
        <w:rPr>
          <w:rFonts w:asciiTheme="majorBidi" w:hAnsiTheme="majorBidi" w:cstheme="majorBidi"/>
          <w:sz w:val="20"/>
          <w:szCs w:val="20"/>
          <w:lang w:eastAsia="id-ID"/>
        </w:rPr>
        <w:t xml:space="preserve">Berdasarkan dari kesimpulan di atas, maka saran yang dapat diberikan adalah sebagai </w:t>
      </w:r>
      <w:proofErr w:type="gramStart"/>
      <w:r w:rsidRPr="00CF273D">
        <w:rPr>
          <w:rFonts w:asciiTheme="majorBidi" w:hAnsiTheme="majorBidi" w:cstheme="majorBidi"/>
          <w:sz w:val="20"/>
          <w:szCs w:val="20"/>
          <w:lang w:eastAsia="id-ID"/>
        </w:rPr>
        <w:t>berikut :</w:t>
      </w:r>
      <w:proofErr w:type="gramEnd"/>
    </w:p>
    <w:p w:rsidR="00CF273D" w:rsidRPr="00CF273D" w:rsidRDefault="00CF273D" w:rsidP="00CF273D">
      <w:pPr>
        <w:pStyle w:val="ListParagraph"/>
        <w:spacing w:after="0" w:line="240" w:lineRule="auto"/>
        <w:ind w:firstLine="720"/>
        <w:jc w:val="both"/>
        <w:rPr>
          <w:rFonts w:asciiTheme="majorBidi" w:hAnsiTheme="majorBidi" w:cstheme="majorBidi"/>
          <w:sz w:val="20"/>
          <w:szCs w:val="20"/>
          <w:lang w:eastAsia="id-ID"/>
        </w:rPr>
      </w:pPr>
      <w:r w:rsidRPr="00CF273D">
        <w:rPr>
          <w:rFonts w:asciiTheme="majorBidi" w:hAnsiTheme="majorBidi" w:cstheme="majorBidi"/>
          <w:sz w:val="20"/>
          <w:szCs w:val="20"/>
          <w:lang w:eastAsia="id-ID"/>
        </w:rPr>
        <w:t>Dengan adanya kegiatan pertumbuhan ekonomi di Indonesia dimana masyarakat Indonesia senang membelanjakan uangnya untuk berkonsumsi dapat memberikan sentimen negatif terhadap investor. Untuk itu, investor lebih baik melihat sisi ekspor dari PT.Semen Indonesia.</w:t>
      </w:r>
    </w:p>
    <w:p w:rsidR="00CF273D" w:rsidRPr="00CF273D" w:rsidRDefault="00CF273D" w:rsidP="00CF273D">
      <w:pPr>
        <w:pStyle w:val="ListParagraph"/>
        <w:spacing w:after="0" w:line="240" w:lineRule="auto"/>
        <w:ind w:firstLine="720"/>
        <w:jc w:val="both"/>
        <w:rPr>
          <w:rFonts w:asciiTheme="majorBidi" w:hAnsiTheme="majorBidi" w:cstheme="majorBidi"/>
          <w:sz w:val="20"/>
          <w:szCs w:val="20"/>
          <w:lang w:eastAsia="id-ID"/>
        </w:rPr>
      </w:pPr>
      <w:r w:rsidRPr="00CF273D">
        <w:rPr>
          <w:rFonts w:asciiTheme="majorBidi" w:hAnsiTheme="majorBidi" w:cstheme="majorBidi"/>
          <w:sz w:val="20"/>
          <w:szCs w:val="20"/>
          <w:lang w:eastAsia="id-ID"/>
        </w:rPr>
        <w:t xml:space="preserve">Pertumbuhan ekonomi yang melambat </w:t>
      </w:r>
      <w:proofErr w:type="gramStart"/>
      <w:r w:rsidRPr="00CF273D">
        <w:rPr>
          <w:rFonts w:asciiTheme="majorBidi" w:hAnsiTheme="majorBidi" w:cstheme="majorBidi"/>
          <w:sz w:val="20"/>
          <w:szCs w:val="20"/>
          <w:lang w:eastAsia="id-ID"/>
        </w:rPr>
        <w:t>akan</w:t>
      </w:r>
      <w:proofErr w:type="gramEnd"/>
      <w:r w:rsidRPr="00CF273D">
        <w:rPr>
          <w:rFonts w:asciiTheme="majorBidi" w:hAnsiTheme="majorBidi" w:cstheme="majorBidi"/>
          <w:sz w:val="20"/>
          <w:szCs w:val="20"/>
          <w:lang w:eastAsia="id-ID"/>
        </w:rPr>
        <w:t xml:space="preserve"> mengalami penjualan produk dan konsumsi semen domestik menurun, maka pemerintah harus mengoptimalkan sumber daya alam dan sumber daya manusia untuk meningkatkan produksi barang dan jasa untuk meningkatkan infrastruktur pembangunan ekonomi yang berkelanjutan. Selain itu, dengan meningkatnya infrastruktur pembangunan ekonomi kinerja perusahaan semen </w:t>
      </w:r>
      <w:proofErr w:type="gramStart"/>
      <w:r w:rsidRPr="00CF273D">
        <w:rPr>
          <w:rFonts w:asciiTheme="majorBidi" w:hAnsiTheme="majorBidi" w:cstheme="majorBidi"/>
          <w:sz w:val="20"/>
          <w:szCs w:val="20"/>
          <w:lang w:eastAsia="id-ID"/>
        </w:rPr>
        <w:t>akan</w:t>
      </w:r>
      <w:proofErr w:type="gramEnd"/>
      <w:r w:rsidRPr="00CF273D">
        <w:rPr>
          <w:rFonts w:asciiTheme="majorBidi" w:hAnsiTheme="majorBidi" w:cstheme="majorBidi"/>
          <w:sz w:val="20"/>
          <w:szCs w:val="20"/>
          <w:lang w:eastAsia="id-ID"/>
        </w:rPr>
        <w:t xml:space="preserve"> membaik dan mempunyai daya saing yang tinggi.</w:t>
      </w:r>
    </w:p>
    <w:p w:rsidR="00CF273D" w:rsidRPr="00CF273D" w:rsidRDefault="00CF273D" w:rsidP="00CF273D">
      <w:pPr>
        <w:pStyle w:val="ListParagraph"/>
        <w:spacing w:after="0" w:line="240" w:lineRule="auto"/>
        <w:jc w:val="both"/>
        <w:rPr>
          <w:rFonts w:asciiTheme="majorBidi" w:hAnsiTheme="majorBidi" w:cstheme="majorBidi"/>
          <w:b/>
          <w:bCs/>
          <w:sz w:val="20"/>
          <w:szCs w:val="20"/>
          <w:lang w:eastAsia="id-ID"/>
        </w:rPr>
      </w:pPr>
    </w:p>
    <w:p w:rsidR="00CF273D" w:rsidRDefault="00CF273D" w:rsidP="00CF273D">
      <w:pPr>
        <w:pStyle w:val="ListParagraph"/>
        <w:spacing w:line="240" w:lineRule="auto"/>
        <w:jc w:val="center"/>
        <w:rPr>
          <w:rFonts w:asciiTheme="majorBidi" w:hAnsiTheme="majorBidi" w:cstheme="majorBidi"/>
          <w:b/>
          <w:bCs/>
          <w:sz w:val="20"/>
          <w:szCs w:val="20"/>
        </w:rPr>
      </w:pPr>
      <w:r>
        <w:rPr>
          <w:rFonts w:asciiTheme="majorBidi" w:hAnsiTheme="majorBidi" w:cstheme="majorBidi"/>
          <w:b/>
          <w:bCs/>
          <w:sz w:val="20"/>
          <w:szCs w:val="20"/>
        </w:rPr>
        <w:t>DAFTAR PUSTAKA</w:t>
      </w:r>
    </w:p>
    <w:p w:rsidR="00CF273D" w:rsidRPr="00430C7E" w:rsidRDefault="00CF273D" w:rsidP="00430C7E">
      <w:pPr>
        <w:widowControl w:val="0"/>
        <w:autoSpaceDE w:val="0"/>
        <w:autoSpaceDN w:val="0"/>
        <w:adjustRightInd w:val="0"/>
        <w:spacing w:after="240" w:line="240" w:lineRule="auto"/>
        <w:ind w:left="284" w:hanging="284"/>
        <w:rPr>
          <w:rFonts w:asciiTheme="majorBidi" w:hAnsiTheme="majorBidi" w:cstheme="majorBidi"/>
          <w:sz w:val="20"/>
          <w:szCs w:val="20"/>
          <w:lang w:val="id-ID"/>
        </w:rPr>
      </w:pPr>
      <w:r w:rsidRPr="00430C7E">
        <w:rPr>
          <w:rFonts w:asciiTheme="majorBidi" w:hAnsiTheme="majorBidi" w:cstheme="majorBidi"/>
          <w:sz w:val="20"/>
          <w:szCs w:val="20"/>
        </w:rPr>
        <w:t xml:space="preserve">Arifin. Ali. 2001. Membaca Saham. </w:t>
      </w:r>
      <w:proofErr w:type="gramStart"/>
      <w:r w:rsidRPr="00430C7E">
        <w:rPr>
          <w:rFonts w:asciiTheme="majorBidi" w:hAnsiTheme="majorBidi" w:cstheme="majorBidi"/>
          <w:sz w:val="20"/>
          <w:szCs w:val="20"/>
        </w:rPr>
        <w:t>Yogyakarta</w:t>
      </w:r>
      <w:r w:rsidRPr="00430C7E">
        <w:rPr>
          <w:rFonts w:asciiTheme="majorBidi" w:hAnsiTheme="majorBidi" w:cstheme="majorBidi"/>
          <w:sz w:val="20"/>
          <w:szCs w:val="20"/>
          <w:lang w:val="id-ID"/>
        </w:rPr>
        <w:t xml:space="preserve"> :</w:t>
      </w:r>
      <w:r w:rsidRPr="00430C7E">
        <w:rPr>
          <w:rFonts w:asciiTheme="majorBidi" w:hAnsiTheme="majorBidi" w:cstheme="majorBidi"/>
          <w:sz w:val="20"/>
          <w:szCs w:val="20"/>
        </w:rPr>
        <w:t>Penerbit</w:t>
      </w:r>
      <w:proofErr w:type="gramEnd"/>
      <w:r w:rsidRPr="00430C7E">
        <w:rPr>
          <w:rFonts w:asciiTheme="majorBidi" w:hAnsiTheme="majorBidi" w:cstheme="majorBidi"/>
          <w:sz w:val="20"/>
          <w:szCs w:val="20"/>
        </w:rPr>
        <w:t xml:space="preserve"> Andi</w:t>
      </w:r>
      <w:r w:rsidRPr="00430C7E">
        <w:rPr>
          <w:rFonts w:asciiTheme="majorBidi" w:hAnsiTheme="majorBidi" w:cstheme="majorBidi"/>
          <w:sz w:val="20"/>
          <w:szCs w:val="20"/>
          <w:lang w:val="id-ID"/>
        </w:rPr>
        <w:t>.</w:t>
      </w:r>
    </w:p>
    <w:p w:rsidR="00CF273D" w:rsidRPr="00430C7E" w:rsidRDefault="00CF273D" w:rsidP="00430C7E">
      <w:pPr>
        <w:widowControl w:val="0"/>
        <w:autoSpaceDE w:val="0"/>
        <w:autoSpaceDN w:val="0"/>
        <w:adjustRightInd w:val="0"/>
        <w:spacing w:after="240" w:line="240" w:lineRule="auto"/>
        <w:ind w:left="567" w:hanging="567"/>
        <w:rPr>
          <w:rFonts w:asciiTheme="majorBidi" w:hAnsiTheme="majorBidi" w:cstheme="majorBidi"/>
          <w:sz w:val="20"/>
          <w:szCs w:val="20"/>
          <w:lang w:val="id-ID"/>
        </w:rPr>
      </w:pPr>
      <w:r w:rsidRPr="00430C7E">
        <w:rPr>
          <w:rFonts w:asciiTheme="majorBidi" w:hAnsiTheme="majorBidi" w:cstheme="majorBidi"/>
          <w:sz w:val="20"/>
          <w:szCs w:val="20"/>
        </w:rPr>
        <w:t xml:space="preserve">Dornbusch, Rudiger, Stanley Fishcer dan Richard Startz. 2004. Makroekonomi. </w:t>
      </w:r>
      <w:r w:rsidRPr="00430C7E">
        <w:rPr>
          <w:rFonts w:asciiTheme="majorBidi" w:hAnsiTheme="majorBidi" w:cstheme="majorBidi"/>
          <w:sz w:val="20"/>
          <w:szCs w:val="20"/>
          <w:lang w:val="id-ID"/>
        </w:rPr>
        <w:t xml:space="preserve">Jakarta : </w:t>
      </w:r>
      <w:r w:rsidRPr="00430C7E">
        <w:rPr>
          <w:rFonts w:asciiTheme="majorBidi" w:hAnsiTheme="majorBidi" w:cstheme="majorBidi"/>
          <w:sz w:val="20"/>
          <w:szCs w:val="20"/>
        </w:rPr>
        <w:t>PT.Media Global Edukasi</w:t>
      </w:r>
      <w:r w:rsidRPr="00430C7E">
        <w:rPr>
          <w:rFonts w:asciiTheme="majorBidi" w:hAnsiTheme="majorBidi" w:cstheme="majorBidi"/>
          <w:sz w:val="20"/>
          <w:szCs w:val="20"/>
          <w:lang w:val="id-ID"/>
        </w:rPr>
        <w:t>.</w:t>
      </w:r>
    </w:p>
    <w:p w:rsidR="00430C7E" w:rsidRPr="00430C7E" w:rsidRDefault="00430C7E" w:rsidP="00430C7E">
      <w:pPr>
        <w:widowControl w:val="0"/>
        <w:autoSpaceDE w:val="0"/>
        <w:autoSpaceDN w:val="0"/>
        <w:adjustRightInd w:val="0"/>
        <w:spacing w:after="240" w:line="240" w:lineRule="auto"/>
        <w:ind w:left="567" w:hanging="567"/>
        <w:rPr>
          <w:rFonts w:asciiTheme="majorBidi" w:hAnsiTheme="majorBidi" w:cstheme="majorBidi"/>
          <w:sz w:val="20"/>
          <w:szCs w:val="20"/>
        </w:rPr>
      </w:pPr>
      <w:r w:rsidRPr="00430C7E">
        <w:rPr>
          <w:rFonts w:asciiTheme="majorBidi" w:hAnsiTheme="majorBidi" w:cstheme="majorBidi"/>
          <w:sz w:val="20"/>
          <w:szCs w:val="20"/>
        </w:rPr>
        <w:t>Halim Livia. 2013</w:t>
      </w:r>
      <w:r w:rsidRPr="00430C7E">
        <w:rPr>
          <w:rFonts w:asciiTheme="majorBidi" w:hAnsiTheme="majorBidi" w:cstheme="majorBidi"/>
          <w:iCs/>
          <w:sz w:val="20"/>
          <w:szCs w:val="20"/>
        </w:rPr>
        <w:t>.”Pengaruh Makro Ekonomi Terhadap Return Saham Kapitalisasi Besar di Bursa Efek Indonesia”</w:t>
      </w:r>
      <w:r w:rsidRPr="00430C7E">
        <w:rPr>
          <w:rFonts w:asciiTheme="majorBidi" w:hAnsiTheme="majorBidi" w:cstheme="majorBidi"/>
          <w:i/>
          <w:sz w:val="20"/>
          <w:szCs w:val="20"/>
        </w:rPr>
        <w:t xml:space="preserve">. </w:t>
      </w:r>
      <w:r w:rsidRPr="00430C7E">
        <w:rPr>
          <w:rFonts w:asciiTheme="majorBidi" w:hAnsiTheme="majorBidi" w:cstheme="majorBidi"/>
          <w:sz w:val="20"/>
          <w:szCs w:val="20"/>
        </w:rPr>
        <w:t>Vol. 1, No. 2, hal 108-113.</w:t>
      </w:r>
    </w:p>
    <w:p w:rsidR="00430C7E" w:rsidRPr="00430C7E" w:rsidRDefault="00430C7E" w:rsidP="00430C7E">
      <w:pPr>
        <w:spacing w:line="240" w:lineRule="auto"/>
        <w:ind w:left="567" w:hanging="567"/>
        <w:rPr>
          <w:rFonts w:asciiTheme="majorBidi" w:eastAsia="Times New Roman" w:hAnsiTheme="majorBidi" w:cstheme="majorBidi"/>
          <w:sz w:val="20"/>
          <w:szCs w:val="20"/>
        </w:rPr>
      </w:pPr>
      <w:r w:rsidRPr="00430C7E">
        <w:rPr>
          <w:rFonts w:asciiTheme="majorBidi" w:eastAsia="Times New Roman" w:hAnsiTheme="majorBidi" w:cstheme="majorBidi"/>
          <w:sz w:val="20"/>
          <w:szCs w:val="20"/>
        </w:rPr>
        <w:lastRenderedPageBreak/>
        <w:t>Maski Ghozali dan Dias Satria.2004.”Asosiasi Antara Kurs dan Harga Saham Dengan Error Correction Model (ECM)”. Universitas Brawijaya.</w:t>
      </w:r>
    </w:p>
    <w:p w:rsidR="00430C7E" w:rsidRPr="00430C7E" w:rsidRDefault="00430C7E" w:rsidP="00430C7E">
      <w:pPr>
        <w:spacing w:line="240" w:lineRule="auto"/>
        <w:ind w:left="567" w:hanging="567"/>
        <w:rPr>
          <w:rFonts w:asciiTheme="majorBidi" w:eastAsia="Times New Roman" w:hAnsiTheme="majorBidi" w:cstheme="majorBidi"/>
          <w:sz w:val="20"/>
          <w:szCs w:val="20"/>
        </w:rPr>
      </w:pPr>
      <w:r w:rsidRPr="00430C7E">
        <w:rPr>
          <w:rFonts w:asciiTheme="majorBidi" w:eastAsia="Times New Roman" w:hAnsiTheme="majorBidi" w:cstheme="majorBidi"/>
          <w:sz w:val="20"/>
          <w:szCs w:val="20"/>
        </w:rPr>
        <w:t xml:space="preserve">Nopirin. 1986. Ekonomi Moneter. Edisi ketiga. </w:t>
      </w:r>
      <w:proofErr w:type="gramStart"/>
      <w:r w:rsidRPr="00430C7E">
        <w:rPr>
          <w:rFonts w:asciiTheme="majorBidi" w:eastAsia="Times New Roman" w:hAnsiTheme="majorBidi" w:cstheme="majorBidi"/>
          <w:sz w:val="20"/>
          <w:szCs w:val="20"/>
        </w:rPr>
        <w:t>Yogyakarta</w:t>
      </w:r>
      <w:r w:rsidRPr="00430C7E">
        <w:rPr>
          <w:rFonts w:asciiTheme="majorBidi" w:eastAsia="Times New Roman" w:hAnsiTheme="majorBidi" w:cstheme="majorBidi"/>
          <w:sz w:val="20"/>
          <w:szCs w:val="20"/>
          <w:lang w:val="id-ID"/>
        </w:rPr>
        <w:t xml:space="preserve"> :</w:t>
      </w:r>
      <w:r w:rsidRPr="00430C7E">
        <w:rPr>
          <w:rFonts w:asciiTheme="majorBidi" w:eastAsia="Times New Roman" w:hAnsiTheme="majorBidi" w:cstheme="majorBidi"/>
          <w:sz w:val="20"/>
          <w:szCs w:val="20"/>
        </w:rPr>
        <w:t>BPFE</w:t>
      </w:r>
      <w:proofErr w:type="gramEnd"/>
      <w:r w:rsidRPr="00430C7E">
        <w:rPr>
          <w:rFonts w:asciiTheme="majorBidi" w:eastAsia="Times New Roman" w:hAnsiTheme="majorBidi" w:cstheme="majorBidi"/>
          <w:sz w:val="20"/>
          <w:szCs w:val="20"/>
        </w:rPr>
        <w:t>.</w:t>
      </w:r>
    </w:p>
    <w:p w:rsidR="00430C7E" w:rsidRPr="00430C7E" w:rsidRDefault="00430C7E" w:rsidP="00430C7E">
      <w:pPr>
        <w:widowControl w:val="0"/>
        <w:autoSpaceDE w:val="0"/>
        <w:autoSpaceDN w:val="0"/>
        <w:adjustRightInd w:val="0"/>
        <w:spacing w:after="240" w:line="240" w:lineRule="auto"/>
        <w:rPr>
          <w:rFonts w:asciiTheme="majorBidi" w:hAnsiTheme="majorBidi" w:cstheme="majorBidi"/>
          <w:sz w:val="20"/>
          <w:szCs w:val="20"/>
        </w:rPr>
      </w:pPr>
      <w:r w:rsidRPr="00430C7E">
        <w:rPr>
          <w:rFonts w:asciiTheme="majorBidi" w:hAnsiTheme="majorBidi" w:cstheme="majorBidi"/>
          <w:sz w:val="20"/>
          <w:szCs w:val="20"/>
        </w:rPr>
        <w:t xml:space="preserve">Nopirin. 1998. Ekonomi Moneter. </w:t>
      </w:r>
      <w:proofErr w:type="gramStart"/>
      <w:r w:rsidRPr="00430C7E">
        <w:rPr>
          <w:rFonts w:asciiTheme="majorBidi" w:hAnsiTheme="majorBidi" w:cstheme="majorBidi"/>
          <w:sz w:val="20"/>
          <w:szCs w:val="20"/>
        </w:rPr>
        <w:t>Yogyakarta</w:t>
      </w:r>
      <w:r w:rsidRPr="00430C7E">
        <w:rPr>
          <w:rFonts w:asciiTheme="majorBidi" w:hAnsiTheme="majorBidi" w:cstheme="majorBidi"/>
          <w:sz w:val="20"/>
          <w:szCs w:val="20"/>
          <w:lang w:val="id-ID"/>
        </w:rPr>
        <w:t xml:space="preserve"> :</w:t>
      </w:r>
      <w:r w:rsidRPr="00430C7E">
        <w:rPr>
          <w:rFonts w:asciiTheme="majorBidi" w:hAnsiTheme="majorBidi" w:cstheme="majorBidi"/>
          <w:sz w:val="20"/>
          <w:szCs w:val="20"/>
        </w:rPr>
        <w:t>BPFE</w:t>
      </w:r>
      <w:proofErr w:type="gramEnd"/>
      <w:r w:rsidRPr="00430C7E">
        <w:rPr>
          <w:rFonts w:asciiTheme="majorBidi" w:hAnsiTheme="majorBidi" w:cstheme="majorBidi"/>
          <w:sz w:val="20"/>
          <w:szCs w:val="20"/>
        </w:rPr>
        <w:t>.</w:t>
      </w:r>
    </w:p>
    <w:p w:rsidR="00430C7E" w:rsidRPr="00430C7E" w:rsidRDefault="00430C7E" w:rsidP="00430C7E">
      <w:pPr>
        <w:widowControl w:val="0"/>
        <w:autoSpaceDE w:val="0"/>
        <w:autoSpaceDN w:val="0"/>
        <w:adjustRightInd w:val="0"/>
        <w:spacing w:after="240" w:line="240" w:lineRule="auto"/>
        <w:ind w:left="567" w:hanging="567"/>
        <w:rPr>
          <w:rFonts w:asciiTheme="majorBidi" w:hAnsiTheme="majorBidi" w:cstheme="majorBidi"/>
          <w:sz w:val="20"/>
          <w:szCs w:val="20"/>
        </w:rPr>
      </w:pPr>
      <w:r w:rsidRPr="00430C7E">
        <w:rPr>
          <w:rFonts w:asciiTheme="majorBidi" w:hAnsiTheme="majorBidi" w:cstheme="majorBidi"/>
          <w:sz w:val="20"/>
          <w:szCs w:val="20"/>
        </w:rPr>
        <w:t>Puspita, H.B. 2005. Pengaruh variabel ekonomi makro, return pasar, dan karakteristik industri terhadap kinerja saham industri perbankan (penelitian empiris di BEJ periode 2000 – 2004). Universitas Indonesia.</w:t>
      </w:r>
    </w:p>
    <w:p w:rsidR="00430C7E" w:rsidRPr="00430C7E" w:rsidRDefault="00430C7E" w:rsidP="00430C7E">
      <w:pPr>
        <w:widowControl w:val="0"/>
        <w:autoSpaceDE w:val="0"/>
        <w:autoSpaceDN w:val="0"/>
        <w:adjustRightInd w:val="0"/>
        <w:spacing w:after="240" w:line="240" w:lineRule="auto"/>
        <w:ind w:left="567" w:hanging="567"/>
        <w:rPr>
          <w:rFonts w:asciiTheme="majorBidi" w:hAnsiTheme="majorBidi" w:cstheme="majorBidi"/>
          <w:sz w:val="20"/>
          <w:szCs w:val="20"/>
        </w:rPr>
      </w:pPr>
      <w:r w:rsidRPr="00430C7E">
        <w:rPr>
          <w:rFonts w:asciiTheme="majorBidi" w:hAnsiTheme="majorBidi" w:cstheme="majorBidi"/>
          <w:sz w:val="20"/>
          <w:szCs w:val="20"/>
        </w:rPr>
        <w:t xml:space="preserve">Riantani Suskim dan Maria Tambunan. 2013. </w:t>
      </w:r>
      <w:r w:rsidRPr="00430C7E">
        <w:rPr>
          <w:rFonts w:asciiTheme="majorBidi" w:hAnsiTheme="majorBidi" w:cstheme="majorBidi"/>
          <w:iCs/>
          <w:sz w:val="20"/>
          <w:szCs w:val="20"/>
        </w:rPr>
        <w:t>“Analisis Pengaruh Variabel Makroekonomi dan Indeks Global Terhadap Return Saham”.</w:t>
      </w:r>
      <w:r w:rsidRPr="00430C7E">
        <w:rPr>
          <w:rFonts w:asciiTheme="majorBidi" w:hAnsiTheme="majorBidi" w:cstheme="majorBidi"/>
          <w:sz w:val="20"/>
          <w:szCs w:val="20"/>
        </w:rPr>
        <w:t xml:space="preserve"> Fakultas Ekonomi dan Manajemen Universitas Widyatama Bandung.</w:t>
      </w:r>
    </w:p>
    <w:p w:rsidR="00430C7E" w:rsidRPr="00430C7E" w:rsidRDefault="00430C7E" w:rsidP="00430C7E">
      <w:pPr>
        <w:widowControl w:val="0"/>
        <w:autoSpaceDE w:val="0"/>
        <w:autoSpaceDN w:val="0"/>
        <w:adjustRightInd w:val="0"/>
        <w:spacing w:after="240" w:line="240" w:lineRule="auto"/>
        <w:ind w:left="567" w:hanging="567"/>
        <w:rPr>
          <w:rFonts w:asciiTheme="majorBidi" w:hAnsiTheme="majorBidi" w:cstheme="majorBidi"/>
          <w:sz w:val="20"/>
          <w:szCs w:val="20"/>
        </w:rPr>
      </w:pPr>
      <w:r w:rsidRPr="00430C7E">
        <w:rPr>
          <w:rFonts w:asciiTheme="majorBidi" w:hAnsiTheme="majorBidi" w:cstheme="majorBidi"/>
          <w:sz w:val="20"/>
          <w:szCs w:val="20"/>
        </w:rPr>
        <w:t>Suci, Suramaya. 2012</w:t>
      </w:r>
      <w:proofErr w:type="gramStart"/>
      <w:r w:rsidRPr="00430C7E">
        <w:rPr>
          <w:rFonts w:asciiTheme="majorBidi" w:hAnsiTheme="majorBidi" w:cstheme="majorBidi"/>
          <w:i/>
          <w:sz w:val="20"/>
          <w:szCs w:val="20"/>
        </w:rPr>
        <w:t xml:space="preserve">. </w:t>
      </w:r>
      <w:r w:rsidRPr="00430C7E">
        <w:rPr>
          <w:rFonts w:asciiTheme="majorBidi" w:hAnsiTheme="majorBidi" w:cstheme="majorBidi"/>
          <w:iCs/>
          <w:sz w:val="20"/>
          <w:szCs w:val="20"/>
        </w:rPr>
        <w:t>”</w:t>
      </w:r>
      <w:proofErr w:type="gramEnd"/>
      <w:r w:rsidRPr="00430C7E">
        <w:rPr>
          <w:rFonts w:asciiTheme="majorBidi" w:hAnsiTheme="majorBidi" w:cstheme="majorBidi"/>
          <w:iCs/>
          <w:sz w:val="20"/>
          <w:szCs w:val="20"/>
        </w:rPr>
        <w:t>Pengaruh Inflasi, Suku Bunga, Kurs, dan Pertumbuhan PDB Terhadap Indeks Harga Saham Gabungan”</w:t>
      </w:r>
      <w:r w:rsidRPr="00430C7E">
        <w:rPr>
          <w:rFonts w:asciiTheme="majorBidi" w:hAnsiTheme="majorBidi" w:cstheme="majorBidi"/>
          <w:i/>
          <w:sz w:val="20"/>
          <w:szCs w:val="20"/>
        </w:rPr>
        <w:t>. Jurnal Economia</w:t>
      </w:r>
      <w:r w:rsidRPr="00430C7E">
        <w:rPr>
          <w:rFonts w:asciiTheme="majorBidi" w:hAnsiTheme="majorBidi" w:cstheme="majorBidi"/>
          <w:sz w:val="20"/>
          <w:szCs w:val="20"/>
        </w:rPr>
        <w:t>. Vol 8, No.1.</w:t>
      </w:r>
    </w:p>
    <w:p w:rsidR="00430C7E" w:rsidRPr="00430C7E" w:rsidRDefault="00430C7E" w:rsidP="00430C7E">
      <w:pPr>
        <w:widowControl w:val="0"/>
        <w:autoSpaceDE w:val="0"/>
        <w:autoSpaceDN w:val="0"/>
        <w:adjustRightInd w:val="0"/>
        <w:spacing w:after="240" w:line="240" w:lineRule="auto"/>
        <w:rPr>
          <w:rFonts w:asciiTheme="majorBidi" w:hAnsiTheme="majorBidi" w:cstheme="majorBidi"/>
          <w:sz w:val="20"/>
          <w:szCs w:val="20"/>
        </w:rPr>
      </w:pPr>
      <w:r w:rsidRPr="00430C7E">
        <w:rPr>
          <w:rFonts w:asciiTheme="majorBidi" w:hAnsiTheme="majorBidi" w:cstheme="majorBidi"/>
          <w:sz w:val="20"/>
          <w:szCs w:val="20"/>
        </w:rPr>
        <w:t xml:space="preserve">Sugiyono. 2005. </w:t>
      </w:r>
      <w:r w:rsidRPr="00430C7E">
        <w:rPr>
          <w:rFonts w:asciiTheme="majorBidi" w:hAnsiTheme="majorBidi" w:cstheme="majorBidi"/>
          <w:iCs/>
          <w:sz w:val="20"/>
          <w:szCs w:val="20"/>
        </w:rPr>
        <w:t>Metodologi Penelitian Kuantitatif.</w:t>
      </w:r>
      <w:r w:rsidRPr="00430C7E">
        <w:rPr>
          <w:rFonts w:asciiTheme="majorBidi" w:hAnsiTheme="majorBidi" w:cstheme="majorBidi"/>
          <w:sz w:val="20"/>
          <w:szCs w:val="20"/>
        </w:rPr>
        <w:t xml:space="preserve"> Bandung. Alfa Beta.</w:t>
      </w:r>
    </w:p>
    <w:p w:rsidR="00430C7E" w:rsidRPr="00430C7E" w:rsidRDefault="00430C7E" w:rsidP="00430C7E">
      <w:pPr>
        <w:widowControl w:val="0"/>
        <w:autoSpaceDE w:val="0"/>
        <w:autoSpaceDN w:val="0"/>
        <w:adjustRightInd w:val="0"/>
        <w:spacing w:after="240" w:line="240" w:lineRule="auto"/>
        <w:ind w:left="567" w:hanging="567"/>
        <w:rPr>
          <w:rFonts w:asciiTheme="majorBidi" w:hAnsiTheme="majorBidi" w:cstheme="majorBidi"/>
          <w:sz w:val="20"/>
          <w:szCs w:val="20"/>
        </w:rPr>
      </w:pPr>
      <w:r w:rsidRPr="00430C7E">
        <w:rPr>
          <w:rFonts w:asciiTheme="majorBidi" w:hAnsiTheme="majorBidi" w:cstheme="majorBidi"/>
          <w:sz w:val="20"/>
          <w:szCs w:val="20"/>
        </w:rPr>
        <w:t>Sunariyah, 1997. Pengantar Pengetahuan Pasar Modal. Yogyakarta. UPP AMP YKPN.</w:t>
      </w:r>
    </w:p>
    <w:p w:rsidR="00430C7E" w:rsidRPr="00430C7E" w:rsidRDefault="00430C7E" w:rsidP="00430C7E">
      <w:pPr>
        <w:widowControl w:val="0"/>
        <w:autoSpaceDE w:val="0"/>
        <w:autoSpaceDN w:val="0"/>
        <w:adjustRightInd w:val="0"/>
        <w:spacing w:after="240" w:line="240" w:lineRule="auto"/>
        <w:ind w:left="567" w:hanging="567"/>
        <w:rPr>
          <w:rFonts w:asciiTheme="majorBidi" w:hAnsiTheme="majorBidi" w:cstheme="majorBidi"/>
          <w:sz w:val="20"/>
          <w:szCs w:val="20"/>
        </w:rPr>
      </w:pPr>
      <w:r w:rsidRPr="00430C7E">
        <w:rPr>
          <w:rFonts w:asciiTheme="majorBidi" w:hAnsiTheme="majorBidi" w:cstheme="majorBidi"/>
          <w:sz w:val="20"/>
          <w:szCs w:val="20"/>
        </w:rPr>
        <w:t xml:space="preserve">Tandelilin, Eduardus. 2010. </w:t>
      </w:r>
      <w:r w:rsidRPr="00430C7E">
        <w:rPr>
          <w:rFonts w:asciiTheme="majorBidi" w:hAnsiTheme="majorBidi" w:cstheme="majorBidi"/>
          <w:iCs/>
          <w:sz w:val="20"/>
          <w:szCs w:val="20"/>
        </w:rPr>
        <w:t>Portofolio dan Investasi Teori dan Aplikasi</w:t>
      </w:r>
      <w:r w:rsidRPr="00430C7E">
        <w:rPr>
          <w:rFonts w:asciiTheme="majorBidi" w:hAnsiTheme="majorBidi" w:cstheme="majorBidi"/>
          <w:sz w:val="20"/>
          <w:szCs w:val="20"/>
        </w:rPr>
        <w:t>. Edisi 1. Yogyakarta.</w:t>
      </w:r>
    </w:p>
    <w:p w:rsidR="00430C7E" w:rsidRPr="00430C7E" w:rsidRDefault="00430C7E" w:rsidP="00430C7E">
      <w:pPr>
        <w:widowControl w:val="0"/>
        <w:autoSpaceDE w:val="0"/>
        <w:autoSpaceDN w:val="0"/>
        <w:adjustRightInd w:val="0"/>
        <w:spacing w:after="240" w:line="240" w:lineRule="auto"/>
        <w:ind w:left="567" w:hanging="567"/>
        <w:rPr>
          <w:rFonts w:asciiTheme="majorBidi" w:hAnsiTheme="majorBidi" w:cstheme="majorBidi"/>
          <w:sz w:val="20"/>
          <w:szCs w:val="20"/>
        </w:rPr>
      </w:pPr>
      <w:r w:rsidRPr="00430C7E">
        <w:rPr>
          <w:rFonts w:asciiTheme="majorBidi" w:hAnsiTheme="majorBidi" w:cstheme="majorBidi"/>
          <w:sz w:val="20"/>
          <w:szCs w:val="20"/>
        </w:rPr>
        <w:t xml:space="preserve">Tirapat, </w:t>
      </w:r>
      <w:proofErr w:type="gramStart"/>
      <w:r w:rsidRPr="00430C7E">
        <w:rPr>
          <w:rFonts w:asciiTheme="majorBidi" w:hAnsiTheme="majorBidi" w:cstheme="majorBidi"/>
          <w:sz w:val="20"/>
          <w:szCs w:val="20"/>
        </w:rPr>
        <w:t>Sunti.,</w:t>
      </w:r>
      <w:proofErr w:type="gramEnd"/>
      <w:r w:rsidRPr="00430C7E">
        <w:rPr>
          <w:rFonts w:asciiTheme="majorBidi" w:hAnsiTheme="majorBidi" w:cstheme="majorBidi"/>
          <w:sz w:val="20"/>
          <w:szCs w:val="20"/>
        </w:rPr>
        <w:t xml:space="preserve"> dan Aekkachai Nittayagasetwat. 1999. </w:t>
      </w:r>
      <w:r w:rsidRPr="00430C7E">
        <w:rPr>
          <w:rFonts w:asciiTheme="majorBidi" w:hAnsiTheme="majorBidi" w:cstheme="majorBidi"/>
          <w:iCs/>
          <w:sz w:val="20"/>
          <w:szCs w:val="20"/>
        </w:rPr>
        <w:t xml:space="preserve">“An Investigation of Thai Listed Firms’s Financial Distress Using Macro and Micro Variables”. </w:t>
      </w:r>
      <w:r w:rsidRPr="00430C7E">
        <w:rPr>
          <w:rFonts w:asciiTheme="majorBidi" w:hAnsiTheme="majorBidi" w:cstheme="majorBidi"/>
          <w:bCs/>
          <w:i/>
          <w:iCs/>
          <w:sz w:val="20"/>
          <w:szCs w:val="20"/>
        </w:rPr>
        <w:t>Multi National Finance Journal</w:t>
      </w:r>
      <w:r w:rsidRPr="00430C7E">
        <w:rPr>
          <w:rFonts w:asciiTheme="majorBidi" w:hAnsiTheme="majorBidi" w:cstheme="majorBidi"/>
          <w:bCs/>
          <w:sz w:val="20"/>
          <w:szCs w:val="20"/>
        </w:rPr>
        <w:t xml:space="preserve">. </w:t>
      </w:r>
      <w:r w:rsidRPr="00430C7E">
        <w:rPr>
          <w:rFonts w:asciiTheme="majorBidi" w:hAnsiTheme="majorBidi" w:cstheme="majorBidi"/>
          <w:sz w:val="20"/>
          <w:szCs w:val="20"/>
        </w:rPr>
        <w:t>Jun 1999; 3</w:t>
      </w:r>
      <w:proofErr w:type="gramStart"/>
      <w:r w:rsidRPr="00430C7E">
        <w:rPr>
          <w:rFonts w:asciiTheme="majorBidi" w:hAnsiTheme="majorBidi" w:cstheme="majorBidi"/>
          <w:sz w:val="20"/>
          <w:szCs w:val="20"/>
        </w:rPr>
        <w:t>,2</w:t>
      </w:r>
      <w:proofErr w:type="gramEnd"/>
      <w:r w:rsidRPr="00430C7E">
        <w:rPr>
          <w:rFonts w:asciiTheme="majorBidi" w:hAnsiTheme="majorBidi" w:cstheme="majorBidi"/>
          <w:sz w:val="20"/>
          <w:szCs w:val="20"/>
        </w:rPr>
        <w:t>, Hal.103-118.</w:t>
      </w:r>
    </w:p>
    <w:p w:rsidR="00430C7E" w:rsidRPr="00430C7E" w:rsidRDefault="00430C7E" w:rsidP="00430C7E">
      <w:pPr>
        <w:widowControl w:val="0"/>
        <w:autoSpaceDE w:val="0"/>
        <w:autoSpaceDN w:val="0"/>
        <w:adjustRightInd w:val="0"/>
        <w:spacing w:after="240" w:line="240" w:lineRule="auto"/>
        <w:ind w:left="567" w:hanging="567"/>
        <w:rPr>
          <w:rFonts w:asciiTheme="majorBidi" w:hAnsiTheme="majorBidi" w:cstheme="majorBidi"/>
          <w:sz w:val="20"/>
          <w:szCs w:val="20"/>
        </w:rPr>
      </w:pPr>
      <w:r w:rsidRPr="00430C7E">
        <w:rPr>
          <w:rFonts w:asciiTheme="majorBidi" w:hAnsiTheme="majorBidi" w:cstheme="majorBidi"/>
          <w:sz w:val="20"/>
          <w:szCs w:val="20"/>
        </w:rPr>
        <w:t xml:space="preserve">Utami. M. dan Rahayu, M. 2003, “Peranan Profitabilitas, Suku bunga, Inflasi dan Nilai Tukar Dalam Mempengaruhi Pasar Modal Indonesia Selama Krisis Ekonomi”. </w:t>
      </w:r>
      <w:r w:rsidRPr="00430C7E">
        <w:rPr>
          <w:rFonts w:asciiTheme="majorBidi" w:hAnsiTheme="majorBidi" w:cstheme="majorBidi"/>
          <w:bCs/>
          <w:i/>
          <w:sz w:val="20"/>
          <w:szCs w:val="20"/>
        </w:rPr>
        <w:t>Jurnal Ekonomi Manajemen</w:t>
      </w:r>
      <w:r w:rsidRPr="00430C7E">
        <w:rPr>
          <w:rFonts w:asciiTheme="majorBidi" w:hAnsiTheme="majorBidi" w:cstheme="majorBidi"/>
          <w:b/>
          <w:bCs/>
          <w:sz w:val="20"/>
          <w:szCs w:val="20"/>
        </w:rPr>
        <w:t xml:space="preserve">. </w:t>
      </w:r>
      <w:r w:rsidRPr="00430C7E">
        <w:rPr>
          <w:rFonts w:asciiTheme="majorBidi" w:hAnsiTheme="majorBidi" w:cstheme="majorBidi"/>
          <w:sz w:val="20"/>
          <w:szCs w:val="20"/>
        </w:rPr>
        <w:t>Vol.5, No.2.</w:t>
      </w:r>
    </w:p>
    <w:p w:rsidR="00430C7E" w:rsidRPr="00430C7E" w:rsidRDefault="00430C7E" w:rsidP="00430C7E">
      <w:pPr>
        <w:widowControl w:val="0"/>
        <w:autoSpaceDE w:val="0"/>
        <w:autoSpaceDN w:val="0"/>
        <w:adjustRightInd w:val="0"/>
        <w:spacing w:after="240" w:line="240" w:lineRule="auto"/>
        <w:ind w:left="567" w:hanging="567"/>
        <w:rPr>
          <w:rFonts w:asciiTheme="majorBidi" w:hAnsiTheme="majorBidi" w:cstheme="majorBidi"/>
          <w:sz w:val="20"/>
          <w:szCs w:val="20"/>
        </w:rPr>
      </w:pPr>
      <w:r w:rsidRPr="00430C7E">
        <w:rPr>
          <w:rFonts w:asciiTheme="majorBidi" w:hAnsiTheme="majorBidi" w:cstheme="majorBidi"/>
          <w:sz w:val="20"/>
          <w:szCs w:val="20"/>
        </w:rPr>
        <w:t xml:space="preserve">Widarjono, Agus. 2009. Ekonometrika Pengantar dan Aplikasi. Yogyakarta: PT.Ekonisia Kampus FE UII. </w:t>
      </w:r>
    </w:p>
    <w:p w:rsidR="00430C7E" w:rsidRPr="00430C7E" w:rsidRDefault="00430C7E" w:rsidP="00430C7E">
      <w:pPr>
        <w:widowControl w:val="0"/>
        <w:autoSpaceDE w:val="0"/>
        <w:autoSpaceDN w:val="0"/>
        <w:adjustRightInd w:val="0"/>
        <w:spacing w:after="240" w:line="240" w:lineRule="auto"/>
        <w:ind w:left="567" w:hanging="567"/>
        <w:rPr>
          <w:rFonts w:asciiTheme="majorBidi" w:hAnsiTheme="majorBidi" w:cstheme="majorBidi"/>
          <w:sz w:val="20"/>
          <w:szCs w:val="20"/>
        </w:rPr>
      </w:pPr>
      <w:r w:rsidRPr="00430C7E">
        <w:rPr>
          <w:rFonts w:asciiTheme="majorBidi" w:hAnsiTheme="majorBidi" w:cstheme="majorBidi"/>
          <w:sz w:val="20"/>
          <w:szCs w:val="20"/>
        </w:rPr>
        <w:t xml:space="preserve">Wongbangpo, P. &amp; Sharma, S.C. 2002. </w:t>
      </w:r>
      <w:r w:rsidRPr="00430C7E">
        <w:rPr>
          <w:rFonts w:asciiTheme="majorBidi" w:hAnsiTheme="majorBidi" w:cstheme="majorBidi"/>
          <w:iCs/>
          <w:sz w:val="20"/>
          <w:szCs w:val="20"/>
        </w:rPr>
        <w:t xml:space="preserve">Stock Market and Macroeconomic Fundamental Dynamic </w:t>
      </w:r>
      <w:proofErr w:type="gramStart"/>
      <w:r w:rsidRPr="00430C7E">
        <w:rPr>
          <w:rFonts w:asciiTheme="majorBidi" w:hAnsiTheme="majorBidi" w:cstheme="majorBidi"/>
          <w:iCs/>
          <w:sz w:val="20"/>
          <w:szCs w:val="20"/>
        </w:rPr>
        <w:t>Interaction :</w:t>
      </w:r>
      <w:proofErr w:type="gramEnd"/>
      <w:r w:rsidRPr="00430C7E">
        <w:rPr>
          <w:rFonts w:asciiTheme="majorBidi" w:hAnsiTheme="majorBidi" w:cstheme="majorBidi"/>
          <w:iCs/>
          <w:sz w:val="20"/>
          <w:szCs w:val="20"/>
        </w:rPr>
        <w:t xml:space="preserve"> ASEAN 5 Countries</w:t>
      </w:r>
      <w:r w:rsidRPr="00430C7E">
        <w:rPr>
          <w:rFonts w:asciiTheme="majorBidi" w:hAnsiTheme="majorBidi" w:cstheme="majorBidi"/>
          <w:i/>
          <w:sz w:val="20"/>
          <w:szCs w:val="20"/>
        </w:rPr>
        <w:t>. Journal of Asian Economics</w:t>
      </w:r>
      <w:r w:rsidRPr="00430C7E">
        <w:rPr>
          <w:rFonts w:asciiTheme="majorBidi" w:hAnsiTheme="majorBidi" w:cstheme="majorBidi"/>
          <w:sz w:val="20"/>
          <w:szCs w:val="20"/>
        </w:rPr>
        <w:t xml:space="preserve"> 13:27 51.</w:t>
      </w:r>
    </w:p>
    <w:p w:rsidR="00CF273D" w:rsidRPr="00CF273D" w:rsidRDefault="00CF273D" w:rsidP="00CF273D">
      <w:pPr>
        <w:pStyle w:val="ListParagraph"/>
        <w:spacing w:line="240" w:lineRule="auto"/>
        <w:rPr>
          <w:rFonts w:asciiTheme="majorBidi" w:hAnsiTheme="majorBidi" w:cstheme="majorBidi"/>
          <w:b/>
          <w:bCs/>
          <w:sz w:val="20"/>
          <w:szCs w:val="20"/>
          <w:lang w:val="id-ID"/>
        </w:rPr>
      </w:pPr>
    </w:p>
    <w:sectPr w:rsidR="00CF273D" w:rsidRPr="00CF273D" w:rsidSect="00D37D20">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charset w:val="81"/>
    <w:family w:val="swiss"/>
    <w:pitch w:val="variable"/>
    <w:sig w:usb0="9000002F" w:usb1="2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050"/>
    <w:multiLevelType w:val="hybridMultilevel"/>
    <w:tmpl w:val="B1B8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57A65"/>
    <w:multiLevelType w:val="hybridMultilevel"/>
    <w:tmpl w:val="5826153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25C4A"/>
    <w:multiLevelType w:val="hybridMultilevel"/>
    <w:tmpl w:val="D8B4FBF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71EA2"/>
    <w:multiLevelType w:val="hybridMultilevel"/>
    <w:tmpl w:val="07B053EA"/>
    <w:lvl w:ilvl="0" w:tplc="8BB405FE">
      <w:start w:val="1"/>
      <w:numFmt w:val="upperLetter"/>
      <w:lvlText w:val="%1."/>
      <w:lvlJc w:val="left"/>
      <w:pPr>
        <w:ind w:left="360" w:hanging="360"/>
      </w:pPr>
      <w:rPr>
        <w:rFonts w:asciiTheme="majorBidi" w:hAnsiTheme="majorBidi" w:cstheme="majorBid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E2B3C"/>
    <w:multiLevelType w:val="hybridMultilevel"/>
    <w:tmpl w:val="B1382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267587"/>
    <w:multiLevelType w:val="hybridMultilevel"/>
    <w:tmpl w:val="0CBA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F52D55"/>
    <w:multiLevelType w:val="hybridMultilevel"/>
    <w:tmpl w:val="4A261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E116A"/>
    <w:multiLevelType w:val="hybridMultilevel"/>
    <w:tmpl w:val="872AC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85E70"/>
    <w:multiLevelType w:val="hybridMultilevel"/>
    <w:tmpl w:val="9BB2A7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AE43E2"/>
    <w:multiLevelType w:val="hybridMultilevel"/>
    <w:tmpl w:val="52EE0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8"/>
  </w:num>
  <w:num w:numId="6">
    <w:abstractNumId w:val="0"/>
  </w:num>
  <w:num w:numId="7">
    <w:abstractNumId w:val="9"/>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EC0799"/>
    <w:rsid w:val="000478DB"/>
    <w:rsid w:val="001E08ED"/>
    <w:rsid w:val="001E49B0"/>
    <w:rsid w:val="00273196"/>
    <w:rsid w:val="002838E4"/>
    <w:rsid w:val="003526C8"/>
    <w:rsid w:val="00430C7E"/>
    <w:rsid w:val="00433A1B"/>
    <w:rsid w:val="00485029"/>
    <w:rsid w:val="004D171B"/>
    <w:rsid w:val="006B679E"/>
    <w:rsid w:val="00814FE5"/>
    <w:rsid w:val="00854B8E"/>
    <w:rsid w:val="00970DA7"/>
    <w:rsid w:val="00A45F97"/>
    <w:rsid w:val="00C008F1"/>
    <w:rsid w:val="00C355C2"/>
    <w:rsid w:val="00CB579F"/>
    <w:rsid w:val="00CF273D"/>
    <w:rsid w:val="00D10450"/>
    <w:rsid w:val="00D37D20"/>
    <w:rsid w:val="00DC1DCA"/>
    <w:rsid w:val="00DD2CFE"/>
    <w:rsid w:val="00E16AA8"/>
    <w:rsid w:val="00E73C88"/>
    <w:rsid w:val="00EC0799"/>
    <w:rsid w:val="00F30264"/>
    <w:rsid w:val="00F64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DB"/>
  </w:style>
  <w:style w:type="paragraph" w:styleId="Heading2">
    <w:name w:val="heading 2"/>
    <w:basedOn w:val="Normal"/>
    <w:next w:val="Normal"/>
    <w:link w:val="Heading2Char"/>
    <w:uiPriority w:val="9"/>
    <w:semiHidden/>
    <w:unhideWhenUsed/>
    <w:qFormat/>
    <w:rsid w:val="00F302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F64D36"/>
    <w:pPr>
      <w:keepNext/>
      <w:spacing w:before="240" w:after="60" w:line="240" w:lineRule="auto"/>
      <w:jc w:val="both"/>
      <w:outlineLvl w:val="2"/>
    </w:pPr>
    <w:rPr>
      <w:rFonts w:ascii="Calibri" w:eastAsia="MS Gothic"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99"/>
    <w:rPr>
      <w:color w:val="0563C1" w:themeColor="hyperlink"/>
      <w:u w:val="single"/>
    </w:rPr>
  </w:style>
  <w:style w:type="paragraph" w:styleId="ListParagraph">
    <w:name w:val="List Paragraph"/>
    <w:basedOn w:val="Normal"/>
    <w:uiPriority w:val="34"/>
    <w:qFormat/>
    <w:rsid w:val="00EC0799"/>
    <w:pPr>
      <w:ind w:left="720"/>
      <w:contextualSpacing/>
    </w:pPr>
  </w:style>
  <w:style w:type="character" w:customStyle="1" w:styleId="Heading3Char">
    <w:name w:val="Heading 3 Char"/>
    <w:basedOn w:val="DefaultParagraphFont"/>
    <w:link w:val="Heading3"/>
    <w:uiPriority w:val="9"/>
    <w:rsid w:val="00F64D36"/>
    <w:rPr>
      <w:rFonts w:ascii="Calibri" w:eastAsia="MS Gothic" w:hAnsi="Calibri" w:cs="Times New Roman"/>
      <w:b/>
      <w:bCs/>
      <w:sz w:val="26"/>
      <w:szCs w:val="26"/>
    </w:rPr>
  </w:style>
  <w:style w:type="character" w:customStyle="1" w:styleId="Heading2Char">
    <w:name w:val="Heading 2 Char"/>
    <w:basedOn w:val="DefaultParagraphFont"/>
    <w:link w:val="Heading2"/>
    <w:uiPriority w:val="9"/>
    <w:semiHidden/>
    <w:rsid w:val="00F3026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A45F97"/>
    <w:pPr>
      <w:spacing w:after="0" w:line="240" w:lineRule="auto"/>
      <w:jc w:val="both"/>
    </w:pPr>
    <w:rPr>
      <w:rFonts w:ascii="Calibri" w:eastAsia="Malgun Gothic" w:hAnsi="Calibri" w:cs="Times New Roman"/>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A45F97"/>
    <w:pPr>
      <w:spacing w:after="200" w:line="240" w:lineRule="auto"/>
      <w:jc w:val="both"/>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352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02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F64D36"/>
    <w:pPr>
      <w:keepNext/>
      <w:spacing w:before="240" w:after="60" w:line="240" w:lineRule="auto"/>
      <w:jc w:val="both"/>
      <w:outlineLvl w:val="2"/>
    </w:pPr>
    <w:rPr>
      <w:rFonts w:ascii="Calibri" w:eastAsia="MS Gothic"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99"/>
    <w:rPr>
      <w:color w:val="0563C1" w:themeColor="hyperlink"/>
      <w:u w:val="single"/>
    </w:rPr>
  </w:style>
  <w:style w:type="paragraph" w:styleId="ListParagraph">
    <w:name w:val="List Paragraph"/>
    <w:basedOn w:val="Normal"/>
    <w:uiPriority w:val="34"/>
    <w:qFormat/>
    <w:rsid w:val="00EC0799"/>
    <w:pPr>
      <w:ind w:left="720"/>
      <w:contextualSpacing/>
    </w:pPr>
  </w:style>
  <w:style w:type="character" w:customStyle="1" w:styleId="Heading3Char">
    <w:name w:val="Heading 3 Char"/>
    <w:basedOn w:val="DefaultParagraphFont"/>
    <w:link w:val="Heading3"/>
    <w:uiPriority w:val="9"/>
    <w:rsid w:val="00F64D36"/>
    <w:rPr>
      <w:rFonts w:ascii="Calibri" w:eastAsia="MS Gothic" w:hAnsi="Calibri" w:cs="Times New Roman"/>
      <w:b/>
      <w:bCs/>
      <w:sz w:val="26"/>
      <w:szCs w:val="26"/>
    </w:rPr>
  </w:style>
  <w:style w:type="character" w:customStyle="1" w:styleId="Heading2Char">
    <w:name w:val="Heading 2 Char"/>
    <w:basedOn w:val="DefaultParagraphFont"/>
    <w:link w:val="Heading2"/>
    <w:uiPriority w:val="9"/>
    <w:semiHidden/>
    <w:rsid w:val="00F3026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A45F97"/>
    <w:pPr>
      <w:spacing w:after="0" w:line="240" w:lineRule="auto"/>
      <w:jc w:val="both"/>
    </w:pPr>
    <w:rPr>
      <w:rFonts w:ascii="Calibri" w:eastAsia="Malgun Gothic" w:hAnsi="Calibri" w:cs="Times New Roman"/>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A45F97"/>
    <w:pPr>
      <w:spacing w:after="200" w:line="240" w:lineRule="auto"/>
      <w:jc w:val="both"/>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352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oleObject" Target="embeddings/oleObject1.bin"/><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irmansyahmuh93@yahoo.com" TargetMode="External"/><Relationship Id="rId11" Type="http://schemas.openxmlformats.org/officeDocument/2006/relationships/hyperlink" Target="http://www.bps.go.id" TargetMode="External"/><Relationship Id="rId5" Type="http://schemas.openxmlformats.org/officeDocument/2006/relationships/image" Target="media/image1.png"/><Relationship Id="rId15" Type="http://schemas.openxmlformats.org/officeDocument/2006/relationships/oleObject" Target="embeddings/oleObject2.bin"/><Relationship Id="rId10" Type="http://schemas.openxmlformats.org/officeDocument/2006/relationships/hyperlink" Target="http://www.bi.go.id"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RMANSYAH:IHSG.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RMANSYAH:IHSG.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RMANSYAH:IHS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lineChart>
        <c:grouping val="standard"/>
        <c:ser>
          <c:idx val="0"/>
          <c:order val="0"/>
          <c:tx>
            <c:strRef>
              <c:f>Sheet1!$D$3</c:f>
              <c:strCache>
                <c:ptCount val="1"/>
                <c:pt idx="0">
                  <c:v>IHSG</c:v>
                </c:pt>
              </c:strCache>
            </c:strRef>
          </c:tx>
          <c:marker>
            <c:symbol val="none"/>
          </c:marker>
          <c:dLbls>
            <c:dLbl>
              <c:idx val="12"/>
              <c:layout>
                <c:manualLayout>
                  <c:x val="-1.6866701829344681E-2"/>
                  <c:y val="-2.1973465166434652E-2"/>
                </c:manualLayout>
              </c:layout>
              <c:dLblPos val="r"/>
              <c:showVal val="1"/>
              <c:showSerName val="1"/>
              <c:extLst>
                <c:ext xmlns:c15="http://schemas.microsoft.com/office/drawing/2012/chart" uri="{CE6537A1-D6FC-4f65-9D91-7224C49458BB}">
                  <c15:layout/>
                </c:ext>
              </c:extLst>
            </c:dLbl>
            <c:delete val="1"/>
            <c:extLst>
              <c:ext xmlns:c15="http://schemas.microsoft.com/office/drawing/2012/chart" uri="{CE6537A1-D6FC-4f65-9D91-7224C49458BB}">
                <c15:showLeaderLines val="0"/>
              </c:ext>
            </c:extLst>
          </c:dLbls>
          <c:cat>
            <c:strRef>
              <c:f>Sheet1!$C$4:$C$16</c:f>
              <c:strCache>
                <c:ptCount val="13"/>
                <c:pt idx="0">
                  <c:v>2011</c:v>
                </c:pt>
                <c:pt idx="1">
                  <c:v>Januari</c:v>
                </c:pt>
                <c:pt idx="2">
                  <c:v>Februari</c:v>
                </c:pt>
                <c:pt idx="3">
                  <c:v>Maret</c:v>
                </c:pt>
                <c:pt idx="4">
                  <c:v>April</c:v>
                </c:pt>
                <c:pt idx="5">
                  <c:v>Mei</c:v>
                </c:pt>
                <c:pt idx="6">
                  <c:v>Juni</c:v>
                </c:pt>
                <c:pt idx="7">
                  <c:v>Juli</c:v>
                </c:pt>
                <c:pt idx="8">
                  <c:v>Agustus</c:v>
                </c:pt>
                <c:pt idx="9">
                  <c:v>September</c:v>
                </c:pt>
                <c:pt idx="10">
                  <c:v>Oktober</c:v>
                </c:pt>
                <c:pt idx="11">
                  <c:v>November</c:v>
                </c:pt>
                <c:pt idx="12">
                  <c:v>Desember</c:v>
                </c:pt>
              </c:strCache>
            </c:strRef>
          </c:cat>
          <c:val>
            <c:numRef>
              <c:f>Sheet1!$D$4:$D$16</c:f>
              <c:numCache>
                <c:formatCode>General</c:formatCode>
                <c:ptCount val="13"/>
                <c:pt idx="1">
                  <c:v>3409.1669999999667</c:v>
                </c:pt>
                <c:pt idx="2">
                  <c:v>3470.348</c:v>
                </c:pt>
                <c:pt idx="3">
                  <c:v>3678.674</c:v>
                </c:pt>
                <c:pt idx="4">
                  <c:v>3819.6179999999999</c:v>
                </c:pt>
                <c:pt idx="5">
                  <c:v>3836.9670000000001</c:v>
                </c:pt>
                <c:pt idx="6">
                  <c:v>3888.569</c:v>
                </c:pt>
                <c:pt idx="7">
                  <c:v>4130.8</c:v>
                </c:pt>
                <c:pt idx="8">
                  <c:v>3841.7310000000002</c:v>
                </c:pt>
                <c:pt idx="9">
                  <c:v>3549.0320000000002</c:v>
                </c:pt>
                <c:pt idx="10">
                  <c:v>3790.8470000000002</c:v>
                </c:pt>
                <c:pt idx="11">
                  <c:v>3715.08</c:v>
                </c:pt>
                <c:pt idx="12">
                  <c:v>3821.9920000000002</c:v>
                </c:pt>
              </c:numCache>
            </c:numRef>
          </c:val>
        </c:ser>
        <c:ser>
          <c:idx val="1"/>
          <c:order val="1"/>
          <c:tx>
            <c:strRef>
              <c:f>Sheet1!$E$3</c:f>
              <c:strCache>
                <c:ptCount val="1"/>
                <c:pt idx="0">
                  <c:v>Harga saham Semen Indonesia</c:v>
                </c:pt>
              </c:strCache>
            </c:strRef>
          </c:tx>
          <c:marker>
            <c:symbol val="none"/>
          </c:marker>
          <c:dLbls>
            <c:dLbl>
              <c:idx val="12"/>
              <c:dLblPos val="r"/>
              <c:showVal val="1"/>
              <c:showSerName val="1"/>
              <c:extLst>
                <c:ext xmlns:c15="http://schemas.microsoft.com/office/drawing/2012/chart" uri="{CE6537A1-D6FC-4f65-9D91-7224C49458BB}">
                  <c15:layout/>
                </c:ext>
              </c:extLst>
            </c:dLbl>
            <c:delete val="1"/>
            <c:extLst>
              <c:ext xmlns:c15="http://schemas.microsoft.com/office/drawing/2012/chart" uri="{CE6537A1-D6FC-4f65-9D91-7224C49458BB}">
                <c15:showLeaderLines val="0"/>
              </c:ext>
            </c:extLst>
          </c:dLbls>
          <c:cat>
            <c:strRef>
              <c:f>Sheet1!$C$4:$C$16</c:f>
              <c:strCache>
                <c:ptCount val="13"/>
                <c:pt idx="0">
                  <c:v>2011</c:v>
                </c:pt>
                <c:pt idx="1">
                  <c:v>Januari</c:v>
                </c:pt>
                <c:pt idx="2">
                  <c:v>Februari</c:v>
                </c:pt>
                <c:pt idx="3">
                  <c:v>Maret</c:v>
                </c:pt>
                <c:pt idx="4">
                  <c:v>April</c:v>
                </c:pt>
                <c:pt idx="5">
                  <c:v>Mei</c:v>
                </c:pt>
                <c:pt idx="6">
                  <c:v>Juni</c:v>
                </c:pt>
                <c:pt idx="7">
                  <c:v>Juli</c:v>
                </c:pt>
                <c:pt idx="8">
                  <c:v>Agustus</c:v>
                </c:pt>
                <c:pt idx="9">
                  <c:v>September</c:v>
                </c:pt>
                <c:pt idx="10">
                  <c:v>Oktober</c:v>
                </c:pt>
                <c:pt idx="11">
                  <c:v>November</c:v>
                </c:pt>
                <c:pt idx="12">
                  <c:v>Desember</c:v>
                </c:pt>
              </c:strCache>
            </c:strRef>
          </c:cat>
          <c:val>
            <c:numRef>
              <c:f>Sheet1!$E$4:$E$16</c:f>
              <c:numCache>
                <c:formatCode>#,##0</c:formatCode>
                <c:ptCount val="13"/>
                <c:pt idx="1">
                  <c:v>7750</c:v>
                </c:pt>
                <c:pt idx="2">
                  <c:v>8650</c:v>
                </c:pt>
                <c:pt idx="3">
                  <c:v>9100</c:v>
                </c:pt>
                <c:pt idx="4">
                  <c:v>9500</c:v>
                </c:pt>
                <c:pt idx="5">
                  <c:v>9700</c:v>
                </c:pt>
                <c:pt idx="6">
                  <c:v>9600</c:v>
                </c:pt>
                <c:pt idx="7">
                  <c:v>9450</c:v>
                </c:pt>
                <c:pt idx="8">
                  <c:v>9100</c:v>
                </c:pt>
                <c:pt idx="9">
                  <c:v>8300</c:v>
                </c:pt>
                <c:pt idx="10">
                  <c:v>9500</c:v>
                </c:pt>
                <c:pt idx="11">
                  <c:v>9250</c:v>
                </c:pt>
                <c:pt idx="12">
                  <c:v>11450</c:v>
                </c:pt>
              </c:numCache>
            </c:numRef>
          </c:val>
        </c:ser>
        <c:dLbls>
          <c:showVal val="1"/>
        </c:dLbls>
        <c:marker val="1"/>
        <c:axId val="50985216"/>
        <c:axId val="51488256"/>
      </c:lineChart>
      <c:catAx>
        <c:axId val="50985216"/>
        <c:scaling>
          <c:orientation val="minMax"/>
        </c:scaling>
        <c:axPos val="b"/>
        <c:numFmt formatCode="General" sourceLinked="0"/>
        <c:majorTickMark val="none"/>
        <c:tickLblPos val="nextTo"/>
        <c:txPr>
          <a:bodyPr/>
          <a:lstStyle/>
          <a:p>
            <a:pPr>
              <a:defRPr lang="id-ID"/>
            </a:pPr>
            <a:endParaRPr lang="en-US"/>
          </a:p>
        </c:txPr>
        <c:crossAx val="51488256"/>
        <c:crosses val="autoZero"/>
        <c:auto val="1"/>
        <c:lblAlgn val="ctr"/>
        <c:lblOffset val="100"/>
      </c:catAx>
      <c:valAx>
        <c:axId val="51488256"/>
        <c:scaling>
          <c:orientation val="minMax"/>
        </c:scaling>
        <c:axPos val="l"/>
        <c:majorGridlines/>
        <c:numFmt formatCode="General" sourceLinked="1"/>
        <c:majorTickMark val="none"/>
        <c:tickLblPos val="nextTo"/>
        <c:txPr>
          <a:bodyPr/>
          <a:lstStyle/>
          <a:p>
            <a:pPr>
              <a:defRPr lang="id-ID"/>
            </a:pPr>
            <a:endParaRPr lang="en-US"/>
          </a:p>
        </c:txPr>
        <c:crossAx val="50985216"/>
        <c:crosses val="autoZero"/>
        <c:crossBetween val="between"/>
      </c:valAx>
    </c:plotArea>
    <c:plotVisOnly val="1"/>
    <c:dispBlanksAs val="gap"/>
  </c:chart>
  <c:spPr>
    <a:solidFill>
      <a:srgbClr val="FFFF00"/>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lineChart>
        <c:grouping val="standard"/>
        <c:ser>
          <c:idx val="0"/>
          <c:order val="0"/>
          <c:tx>
            <c:strRef>
              <c:f>Sheet1!$D$17</c:f>
              <c:strCache>
                <c:ptCount val="1"/>
                <c:pt idx="0">
                  <c:v>IHSG</c:v>
                </c:pt>
              </c:strCache>
            </c:strRef>
          </c:tx>
          <c:marker>
            <c:symbol val="none"/>
          </c:marker>
          <c:dLbls>
            <c:dLbl>
              <c:idx val="12"/>
              <c:layout>
                <c:manualLayout>
                  <c:x val="0"/>
                  <c:y val="-4.4365603873748723E-2"/>
                </c:manualLayout>
              </c:layout>
              <c:dLblPos val="r"/>
              <c:showVal val="1"/>
              <c:showSerName val="1"/>
              <c:extLst>
                <c:ext xmlns:c15="http://schemas.microsoft.com/office/drawing/2012/chart" uri="{CE6537A1-D6FC-4f65-9D91-7224C49458BB}">
                  <c15:layout/>
                </c:ext>
              </c:extLst>
            </c:dLbl>
            <c:delete val="1"/>
            <c:extLst>
              <c:ext xmlns:c15="http://schemas.microsoft.com/office/drawing/2012/chart" uri="{CE6537A1-D6FC-4f65-9D91-7224C49458BB}">
                <c15:showLeaderLines val="0"/>
              </c:ext>
            </c:extLst>
          </c:dLbls>
          <c:cat>
            <c:strRef>
              <c:f>Sheet1!$C$18:$C$30</c:f>
              <c:strCache>
                <c:ptCount val="13"/>
                <c:pt idx="0">
                  <c:v>2012</c:v>
                </c:pt>
                <c:pt idx="1">
                  <c:v>Januari</c:v>
                </c:pt>
                <c:pt idx="2">
                  <c:v>Februari</c:v>
                </c:pt>
                <c:pt idx="3">
                  <c:v>Maret</c:v>
                </c:pt>
                <c:pt idx="4">
                  <c:v>April</c:v>
                </c:pt>
                <c:pt idx="5">
                  <c:v>Mei</c:v>
                </c:pt>
                <c:pt idx="6">
                  <c:v>Juni</c:v>
                </c:pt>
                <c:pt idx="7">
                  <c:v>Juli</c:v>
                </c:pt>
                <c:pt idx="8">
                  <c:v>Agustus</c:v>
                </c:pt>
                <c:pt idx="9">
                  <c:v>September</c:v>
                </c:pt>
                <c:pt idx="10">
                  <c:v>Oktober</c:v>
                </c:pt>
                <c:pt idx="11">
                  <c:v>November</c:v>
                </c:pt>
                <c:pt idx="12">
                  <c:v>Desember</c:v>
                </c:pt>
              </c:strCache>
            </c:strRef>
          </c:cat>
          <c:val>
            <c:numRef>
              <c:f>Sheet1!$D$18:$D$30</c:f>
              <c:numCache>
                <c:formatCode>General</c:formatCode>
                <c:ptCount val="13"/>
                <c:pt idx="1">
                  <c:v>3941.6930000000002</c:v>
                </c:pt>
                <c:pt idx="2">
                  <c:v>3985.21</c:v>
                </c:pt>
                <c:pt idx="3">
                  <c:v>4121.5510000000004</c:v>
                </c:pt>
                <c:pt idx="4">
                  <c:v>4180.732</c:v>
                </c:pt>
                <c:pt idx="5">
                  <c:v>3832.8240000000001</c:v>
                </c:pt>
                <c:pt idx="6">
                  <c:v>3955.5770000000002</c:v>
                </c:pt>
                <c:pt idx="7">
                  <c:v>4142.3369999999995</c:v>
                </c:pt>
                <c:pt idx="8">
                  <c:v>4060.331000000037</c:v>
                </c:pt>
                <c:pt idx="9">
                  <c:v>4262.5610000000024</c:v>
                </c:pt>
                <c:pt idx="10">
                  <c:v>4350.2910000000002</c:v>
                </c:pt>
                <c:pt idx="11">
                  <c:v>4276.1410000000014</c:v>
                </c:pt>
                <c:pt idx="12">
                  <c:v>4316.6870000000008</c:v>
                </c:pt>
              </c:numCache>
            </c:numRef>
          </c:val>
        </c:ser>
        <c:ser>
          <c:idx val="1"/>
          <c:order val="1"/>
          <c:tx>
            <c:strRef>
              <c:f>Sheet1!$E$17</c:f>
              <c:strCache>
                <c:ptCount val="1"/>
                <c:pt idx="0">
                  <c:v>Harga saham Semen Indonesia</c:v>
                </c:pt>
              </c:strCache>
            </c:strRef>
          </c:tx>
          <c:marker>
            <c:symbol val="none"/>
          </c:marker>
          <c:dLbls>
            <c:dLbl>
              <c:idx val="12"/>
              <c:layout>
                <c:manualLayout>
                  <c:x val="-6.264774965185145E-2"/>
                  <c:y val="-2.9592399646522279E-2"/>
                </c:manualLayout>
              </c:layout>
              <c:dLblPos val="r"/>
              <c:showVal val="1"/>
              <c:showSerName val="1"/>
              <c:extLst>
                <c:ext xmlns:c15="http://schemas.microsoft.com/office/drawing/2012/chart" uri="{CE6537A1-D6FC-4f65-9D91-7224C49458BB}">
                  <c15:layout/>
                </c:ext>
              </c:extLst>
            </c:dLbl>
            <c:delete val="1"/>
            <c:extLst>
              <c:ext xmlns:c15="http://schemas.microsoft.com/office/drawing/2012/chart" uri="{CE6537A1-D6FC-4f65-9D91-7224C49458BB}">
                <c15:showLeaderLines val="0"/>
              </c:ext>
            </c:extLst>
          </c:dLbls>
          <c:cat>
            <c:strRef>
              <c:f>Sheet1!$C$18:$C$30</c:f>
              <c:strCache>
                <c:ptCount val="13"/>
                <c:pt idx="0">
                  <c:v>2012</c:v>
                </c:pt>
                <c:pt idx="1">
                  <c:v>Januari</c:v>
                </c:pt>
                <c:pt idx="2">
                  <c:v>Februari</c:v>
                </c:pt>
                <c:pt idx="3">
                  <c:v>Maret</c:v>
                </c:pt>
                <c:pt idx="4">
                  <c:v>April</c:v>
                </c:pt>
                <c:pt idx="5">
                  <c:v>Mei</c:v>
                </c:pt>
                <c:pt idx="6">
                  <c:v>Juni</c:v>
                </c:pt>
                <c:pt idx="7">
                  <c:v>Juli</c:v>
                </c:pt>
                <c:pt idx="8">
                  <c:v>Agustus</c:v>
                </c:pt>
                <c:pt idx="9">
                  <c:v>September</c:v>
                </c:pt>
                <c:pt idx="10">
                  <c:v>Oktober</c:v>
                </c:pt>
                <c:pt idx="11">
                  <c:v>November</c:v>
                </c:pt>
                <c:pt idx="12">
                  <c:v>Desember</c:v>
                </c:pt>
              </c:strCache>
            </c:strRef>
          </c:cat>
          <c:val>
            <c:numRef>
              <c:f>Sheet1!$E$18:$E$30</c:f>
              <c:numCache>
                <c:formatCode>#,##0</c:formatCode>
                <c:ptCount val="13"/>
                <c:pt idx="1">
                  <c:v>11300</c:v>
                </c:pt>
                <c:pt idx="2">
                  <c:v>11250</c:v>
                </c:pt>
                <c:pt idx="3">
                  <c:v>12250</c:v>
                </c:pt>
                <c:pt idx="4">
                  <c:v>12150</c:v>
                </c:pt>
                <c:pt idx="5">
                  <c:v>10950</c:v>
                </c:pt>
                <c:pt idx="6">
                  <c:v>11300</c:v>
                </c:pt>
                <c:pt idx="7">
                  <c:v>12950</c:v>
                </c:pt>
                <c:pt idx="8">
                  <c:v>12400</c:v>
                </c:pt>
                <c:pt idx="9">
                  <c:v>14450</c:v>
                </c:pt>
                <c:pt idx="10">
                  <c:v>14900</c:v>
                </c:pt>
                <c:pt idx="11">
                  <c:v>14800</c:v>
                </c:pt>
                <c:pt idx="12">
                  <c:v>15850</c:v>
                </c:pt>
              </c:numCache>
            </c:numRef>
          </c:val>
        </c:ser>
        <c:marker val="1"/>
        <c:axId val="60412672"/>
        <c:axId val="61626240"/>
      </c:lineChart>
      <c:catAx>
        <c:axId val="60412672"/>
        <c:scaling>
          <c:orientation val="minMax"/>
        </c:scaling>
        <c:axPos val="b"/>
        <c:numFmt formatCode="General" sourceLinked="0"/>
        <c:majorTickMark val="none"/>
        <c:tickLblPos val="nextTo"/>
        <c:txPr>
          <a:bodyPr/>
          <a:lstStyle/>
          <a:p>
            <a:pPr>
              <a:defRPr lang="id-ID"/>
            </a:pPr>
            <a:endParaRPr lang="en-US"/>
          </a:p>
        </c:txPr>
        <c:crossAx val="61626240"/>
        <c:crosses val="autoZero"/>
        <c:auto val="1"/>
        <c:lblAlgn val="ctr"/>
        <c:lblOffset val="100"/>
      </c:catAx>
      <c:valAx>
        <c:axId val="61626240"/>
        <c:scaling>
          <c:orientation val="minMax"/>
        </c:scaling>
        <c:axPos val="l"/>
        <c:majorGridlines/>
        <c:numFmt formatCode="General" sourceLinked="1"/>
        <c:majorTickMark val="none"/>
        <c:tickLblPos val="nextTo"/>
        <c:txPr>
          <a:bodyPr/>
          <a:lstStyle/>
          <a:p>
            <a:pPr>
              <a:defRPr lang="id-ID"/>
            </a:pPr>
            <a:endParaRPr lang="en-US"/>
          </a:p>
        </c:txPr>
        <c:crossAx val="60412672"/>
        <c:crosses val="autoZero"/>
        <c:crossBetween val="between"/>
      </c:valAx>
    </c:plotArea>
    <c:plotVisOnly val="1"/>
    <c:dispBlanksAs val="gap"/>
  </c:chart>
  <c:spPr>
    <a:solidFill>
      <a:srgbClr val="FFFF00"/>
    </a:solidFill>
    <a:ln>
      <a:solidFill>
        <a:srgbClr val="FF660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autoTitleDeleted val="1"/>
    <c:plotArea>
      <c:layout/>
      <c:lineChart>
        <c:grouping val="standard"/>
        <c:ser>
          <c:idx val="0"/>
          <c:order val="0"/>
          <c:tx>
            <c:strRef>
              <c:f>Sheet1!$D$31</c:f>
              <c:strCache>
                <c:ptCount val="1"/>
                <c:pt idx="0">
                  <c:v>IHSG</c:v>
                </c:pt>
              </c:strCache>
            </c:strRef>
          </c:tx>
          <c:marker>
            <c:symbol val="none"/>
          </c:marker>
          <c:dLbls>
            <c:dLbl>
              <c:idx val="12"/>
              <c:layout>
                <c:manualLayout>
                  <c:x val="0"/>
                  <c:y val="-4.1666666666666664E-2"/>
                </c:manualLayout>
              </c:layout>
              <c:dLblPos val="r"/>
              <c:showVal val="1"/>
              <c:showSerName val="1"/>
              <c:extLst>
                <c:ext xmlns:c15="http://schemas.microsoft.com/office/drawing/2012/chart" uri="{CE6537A1-D6FC-4f65-9D91-7224C49458BB}">
                  <c15:layout/>
                </c:ext>
              </c:extLst>
            </c:dLbl>
            <c:delete val="1"/>
            <c:extLst>
              <c:ext xmlns:c15="http://schemas.microsoft.com/office/drawing/2012/chart" uri="{CE6537A1-D6FC-4f65-9D91-7224C49458BB}">
                <c15:showLeaderLines val="0"/>
              </c:ext>
            </c:extLst>
          </c:dLbls>
          <c:cat>
            <c:strRef>
              <c:f>Sheet1!$C$32:$C$44</c:f>
              <c:strCache>
                <c:ptCount val="13"/>
                <c:pt idx="0">
                  <c:v>2013</c:v>
                </c:pt>
                <c:pt idx="1">
                  <c:v>Januari</c:v>
                </c:pt>
                <c:pt idx="2">
                  <c:v>Februari</c:v>
                </c:pt>
                <c:pt idx="3">
                  <c:v>Maret</c:v>
                </c:pt>
                <c:pt idx="4">
                  <c:v>April</c:v>
                </c:pt>
                <c:pt idx="5">
                  <c:v>Mei</c:v>
                </c:pt>
                <c:pt idx="6">
                  <c:v>Juni</c:v>
                </c:pt>
                <c:pt idx="7">
                  <c:v>Juli</c:v>
                </c:pt>
                <c:pt idx="8">
                  <c:v>Agustus</c:v>
                </c:pt>
                <c:pt idx="9">
                  <c:v>September</c:v>
                </c:pt>
                <c:pt idx="10">
                  <c:v>Oktober</c:v>
                </c:pt>
                <c:pt idx="11">
                  <c:v>November</c:v>
                </c:pt>
                <c:pt idx="12">
                  <c:v>Desember</c:v>
                </c:pt>
              </c:strCache>
            </c:strRef>
          </c:cat>
          <c:val>
            <c:numRef>
              <c:f>Sheet1!$D$32:$D$44</c:f>
              <c:numCache>
                <c:formatCode>General</c:formatCode>
                <c:ptCount val="13"/>
                <c:pt idx="1">
                  <c:v>4453.7029999999995</c:v>
                </c:pt>
                <c:pt idx="2">
                  <c:v>4795.7889999999998</c:v>
                </c:pt>
                <c:pt idx="3">
                  <c:v>4940.9859999999999</c:v>
                </c:pt>
                <c:pt idx="4">
                  <c:v>5034.0710000000008</c:v>
                </c:pt>
                <c:pt idx="5">
                  <c:v>5068.6280000000024</c:v>
                </c:pt>
                <c:pt idx="6">
                  <c:v>4818.8950000000004</c:v>
                </c:pt>
                <c:pt idx="7">
                  <c:v>4610.3769999999995</c:v>
                </c:pt>
                <c:pt idx="8">
                  <c:v>4195.0890000000009</c:v>
                </c:pt>
                <c:pt idx="9">
                  <c:v>4316.1760000000004</c:v>
                </c:pt>
                <c:pt idx="10">
                  <c:v>4510.6310000000003</c:v>
                </c:pt>
                <c:pt idx="11">
                  <c:v>4256.4360000000006</c:v>
                </c:pt>
                <c:pt idx="12">
                  <c:v>4274.1770000000006</c:v>
                </c:pt>
              </c:numCache>
            </c:numRef>
          </c:val>
        </c:ser>
        <c:ser>
          <c:idx val="1"/>
          <c:order val="1"/>
          <c:tx>
            <c:strRef>
              <c:f>Sheet1!$E$31</c:f>
              <c:strCache>
                <c:ptCount val="1"/>
                <c:pt idx="0">
                  <c:v>Harga saham Semen Indonesia</c:v>
                </c:pt>
              </c:strCache>
            </c:strRef>
          </c:tx>
          <c:marker>
            <c:symbol val="none"/>
          </c:marker>
          <c:dLbls>
            <c:dLbl>
              <c:idx val="12"/>
              <c:dLblPos val="r"/>
              <c:showVal val="1"/>
              <c:showSerName val="1"/>
              <c:extLst>
                <c:ext xmlns:c15="http://schemas.microsoft.com/office/drawing/2012/chart" uri="{CE6537A1-D6FC-4f65-9D91-7224C49458BB}">
                  <c15:layout/>
                </c:ext>
              </c:extLst>
            </c:dLbl>
            <c:delete val="1"/>
            <c:extLst>
              <c:ext xmlns:c15="http://schemas.microsoft.com/office/drawing/2012/chart" uri="{CE6537A1-D6FC-4f65-9D91-7224C49458BB}">
                <c15:showLeaderLines val="0"/>
              </c:ext>
            </c:extLst>
          </c:dLbls>
          <c:cat>
            <c:strRef>
              <c:f>Sheet1!$C$32:$C$44</c:f>
              <c:strCache>
                <c:ptCount val="13"/>
                <c:pt idx="0">
                  <c:v>2013</c:v>
                </c:pt>
                <c:pt idx="1">
                  <c:v>Januari</c:v>
                </c:pt>
                <c:pt idx="2">
                  <c:v>Februari</c:v>
                </c:pt>
                <c:pt idx="3">
                  <c:v>Maret</c:v>
                </c:pt>
                <c:pt idx="4">
                  <c:v>April</c:v>
                </c:pt>
                <c:pt idx="5">
                  <c:v>Mei</c:v>
                </c:pt>
                <c:pt idx="6">
                  <c:v>Juni</c:v>
                </c:pt>
                <c:pt idx="7">
                  <c:v>Juli</c:v>
                </c:pt>
                <c:pt idx="8">
                  <c:v>Agustus</c:v>
                </c:pt>
                <c:pt idx="9">
                  <c:v>September</c:v>
                </c:pt>
                <c:pt idx="10">
                  <c:v>Oktober</c:v>
                </c:pt>
                <c:pt idx="11">
                  <c:v>November</c:v>
                </c:pt>
                <c:pt idx="12">
                  <c:v>Desember</c:v>
                </c:pt>
              </c:strCache>
            </c:strRef>
          </c:cat>
          <c:val>
            <c:numRef>
              <c:f>Sheet1!$E$32:$E$44</c:f>
              <c:numCache>
                <c:formatCode>#,##0</c:formatCode>
                <c:ptCount val="13"/>
                <c:pt idx="1">
                  <c:v>15750</c:v>
                </c:pt>
                <c:pt idx="2">
                  <c:v>17350</c:v>
                </c:pt>
                <c:pt idx="3">
                  <c:v>17700</c:v>
                </c:pt>
                <c:pt idx="4">
                  <c:v>18400</c:v>
                </c:pt>
                <c:pt idx="5">
                  <c:v>18000</c:v>
                </c:pt>
                <c:pt idx="6">
                  <c:v>17100</c:v>
                </c:pt>
                <c:pt idx="7">
                  <c:v>15200</c:v>
                </c:pt>
                <c:pt idx="8">
                  <c:v>12600</c:v>
                </c:pt>
                <c:pt idx="9">
                  <c:v>13000</c:v>
                </c:pt>
                <c:pt idx="10">
                  <c:v>14350</c:v>
                </c:pt>
                <c:pt idx="11">
                  <c:v>12800</c:v>
                </c:pt>
                <c:pt idx="12">
                  <c:v>14150</c:v>
                </c:pt>
              </c:numCache>
            </c:numRef>
          </c:val>
        </c:ser>
        <c:marker val="1"/>
        <c:axId val="61766272"/>
        <c:axId val="62726144"/>
      </c:lineChart>
      <c:catAx>
        <c:axId val="61766272"/>
        <c:scaling>
          <c:orientation val="minMax"/>
        </c:scaling>
        <c:axPos val="b"/>
        <c:numFmt formatCode="General" sourceLinked="0"/>
        <c:majorTickMark val="none"/>
        <c:tickLblPos val="nextTo"/>
        <c:txPr>
          <a:bodyPr/>
          <a:lstStyle/>
          <a:p>
            <a:pPr>
              <a:defRPr lang="id-ID"/>
            </a:pPr>
            <a:endParaRPr lang="en-US"/>
          </a:p>
        </c:txPr>
        <c:crossAx val="62726144"/>
        <c:crosses val="autoZero"/>
        <c:auto val="1"/>
        <c:lblAlgn val="ctr"/>
        <c:lblOffset val="100"/>
      </c:catAx>
      <c:valAx>
        <c:axId val="62726144"/>
        <c:scaling>
          <c:orientation val="minMax"/>
        </c:scaling>
        <c:axPos val="l"/>
        <c:majorGridlines/>
        <c:numFmt formatCode="General" sourceLinked="1"/>
        <c:majorTickMark val="none"/>
        <c:tickLblPos val="nextTo"/>
        <c:txPr>
          <a:bodyPr/>
          <a:lstStyle/>
          <a:p>
            <a:pPr>
              <a:defRPr lang="id-ID"/>
            </a:pPr>
            <a:endParaRPr lang="en-US"/>
          </a:p>
        </c:txPr>
        <c:crossAx val="6176627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5016</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comp rec.</cp:lastModifiedBy>
  <cp:revision>2</cp:revision>
  <cp:lastPrinted>2002-01-18T08:46:00Z</cp:lastPrinted>
  <dcterms:created xsi:type="dcterms:W3CDTF">2015-04-13T02:32:00Z</dcterms:created>
  <dcterms:modified xsi:type="dcterms:W3CDTF">2015-04-13T02:32:00Z</dcterms:modified>
</cp:coreProperties>
</file>